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护理</w:t>
      </w:r>
      <w:r>
        <w:rPr>
          <w:rFonts w:hint="eastAsia" w:ascii="思源宋体 CN Heavy" w:hAnsi="思源宋体 CN Heavy" w:eastAsia="思源宋体 CN Heavy" w:cs="思源宋体 CN Heavy"/>
          <w:b/>
          <w:bCs/>
          <w:color w:val="6787B2"/>
          <w:sz w:val="112"/>
          <w:szCs w:val="112"/>
          <w:lang w:val="en-US" w:eastAsia="zh-CN"/>
        </w:rPr>
        <w:t>伦理</w:t>
      </w:r>
      <w:r>
        <w:rPr>
          <w:rFonts w:hint="eastAsia" w:ascii="思源宋体 CN Heavy" w:hAnsi="思源宋体 CN Heavy" w:eastAsia="思源宋体 CN Heavy" w:cs="思源宋体 CN Heavy"/>
          <w:b/>
          <w:bCs/>
          <w:color w:val="6787B2"/>
          <w:sz w:val="112"/>
          <w:szCs w:val="112"/>
        </w:rPr>
        <w:t>学</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4CE1FFFF">
      <w:pPr>
        <w:keepNext/>
        <w:keepLines/>
        <w:spacing w:before="260" w:after="260" w:line="240" w:lineRule="auto"/>
        <w:jc w:val="center"/>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7C01B318">
      <w:pPr>
        <w:pStyle w:val="3"/>
        <w:bidi w:val="0"/>
        <w:jc w:val="center"/>
        <w:rPr>
          <w:rFonts w:hint="eastAsia"/>
          <w:color w:val="6787B2"/>
          <w:lang w:eastAsia="zh-CN"/>
        </w:rPr>
      </w:pPr>
      <w:r>
        <w:rPr>
          <w:rFonts w:hint="eastAsia"/>
          <w:color w:val="6787B2"/>
        </w:rPr>
        <w:t>单元五 临床护理伦理</w:t>
      </w:r>
    </w:p>
    <w:p w14:paraId="613866B1">
      <w:pPr>
        <w:pStyle w:val="3"/>
        <w:keepNext/>
        <w:keepLines/>
        <w:pageBreakBefore w:val="0"/>
        <w:widowControl w:val="0"/>
        <w:kinsoku/>
        <w:wordWrap/>
        <w:overflowPunct/>
        <w:topLinePunct w:val="0"/>
        <w:autoSpaceDE/>
        <w:autoSpaceDN/>
        <w:bidi w:val="0"/>
        <w:adjustRightInd/>
        <w:snapToGrid/>
        <w:spacing w:line="416" w:lineRule="auto"/>
        <w:ind w:firstLine="643" w:firstLineChars="200"/>
        <w:textAlignment w:val="auto"/>
        <w:rPr>
          <w:rFonts w:hint="eastAsia"/>
        </w:rPr>
      </w:pPr>
      <w:r>
        <w:rPr>
          <w:rFonts w:hint="eastAsia"/>
        </w:rPr>
        <w:t>一、教学基本情况</w:t>
      </w:r>
    </w:p>
    <w:tbl>
      <w:tblPr>
        <w:tblStyle w:val="10"/>
        <w:tblW w:w="107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4"/>
        <w:gridCol w:w="1981"/>
        <w:gridCol w:w="1751"/>
        <w:gridCol w:w="590"/>
        <w:gridCol w:w="1510"/>
        <w:gridCol w:w="57"/>
        <w:gridCol w:w="3089"/>
        <w:gridCol w:w="30"/>
      </w:tblGrid>
      <w:tr w14:paraId="172C65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0C6712DD">
            <w:pPr>
              <w:spacing w:line="360" w:lineRule="auto"/>
              <w:jc w:val="center"/>
              <w:rPr>
                <w:rFonts w:ascii="仿宋" w:hAnsi="仿宋" w:eastAsia="仿宋" w:cs="仿宋"/>
                <w:b/>
                <w:bCs/>
                <w:sz w:val="28"/>
                <w:szCs w:val="28"/>
              </w:rPr>
            </w:pPr>
            <w:bookmarkStart w:id="0" w:name="_Hlk67738882"/>
            <w:r>
              <w:rPr>
                <w:rFonts w:hint="eastAsia" w:ascii="仿宋" w:hAnsi="仿宋" w:eastAsia="仿宋" w:cs="仿宋"/>
                <w:b/>
                <w:bCs/>
                <w:sz w:val="28"/>
                <w:szCs w:val="28"/>
              </w:rPr>
              <w:t>（一）课程概况</w:t>
            </w:r>
          </w:p>
        </w:tc>
      </w:tr>
      <w:tr w14:paraId="581336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764" w:type="dxa"/>
            <w:shd w:val="clear" w:color="auto" w:fill="DEEBF6"/>
            <w:vAlign w:val="center"/>
          </w:tcPr>
          <w:p w14:paraId="59711CA6">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课程名称</w:t>
            </w:r>
          </w:p>
        </w:tc>
        <w:tc>
          <w:tcPr>
            <w:tcW w:w="4322" w:type="dxa"/>
            <w:gridSpan w:val="3"/>
            <w:shd w:val="clear" w:color="auto" w:fill="auto"/>
          </w:tcPr>
          <w:p w14:paraId="346B4FDA">
            <w:pPr>
              <w:spacing w:line="360" w:lineRule="auto"/>
              <w:rPr>
                <w:rFonts w:ascii="仿宋" w:hAnsi="仿宋" w:eastAsia="仿宋" w:cs="仿宋"/>
                <w:b/>
                <w:bCs/>
                <w:sz w:val="28"/>
                <w:szCs w:val="28"/>
              </w:rPr>
            </w:pPr>
            <w:r>
              <w:rPr>
                <w:rFonts w:hint="eastAsia" w:ascii="仿宋" w:hAnsi="仿宋" w:eastAsia="仿宋" w:cs="仿宋"/>
                <w:b/>
                <w:bCs/>
                <w:sz w:val="28"/>
                <w:szCs w:val="28"/>
              </w:rPr>
              <w:t>护理伦理学</w:t>
            </w:r>
          </w:p>
        </w:tc>
        <w:tc>
          <w:tcPr>
            <w:tcW w:w="1510" w:type="dxa"/>
            <w:shd w:val="clear" w:color="auto" w:fill="DEEBF6"/>
            <w:vAlign w:val="center"/>
          </w:tcPr>
          <w:p w14:paraId="313AAFF4">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授课对象</w:t>
            </w:r>
          </w:p>
        </w:tc>
        <w:tc>
          <w:tcPr>
            <w:tcW w:w="3176" w:type="dxa"/>
            <w:gridSpan w:val="3"/>
          </w:tcPr>
          <w:p w14:paraId="5767DB0D">
            <w:pPr>
              <w:spacing w:line="360" w:lineRule="auto"/>
              <w:rPr>
                <w:rFonts w:ascii="仿宋" w:hAnsi="仿宋" w:eastAsia="仿宋" w:cs="仿宋"/>
                <w:b/>
                <w:bCs/>
                <w:sz w:val="28"/>
                <w:szCs w:val="28"/>
              </w:rPr>
            </w:pPr>
            <w:r>
              <w:rPr>
                <w:rFonts w:hint="eastAsia" w:ascii="仿宋" w:hAnsi="仿宋" w:eastAsia="仿宋" w:cs="仿宋"/>
                <w:b/>
                <w:bCs/>
                <w:sz w:val="28"/>
                <w:szCs w:val="28"/>
              </w:rPr>
              <w:t>普专护理学生</w:t>
            </w:r>
          </w:p>
        </w:tc>
      </w:tr>
      <w:tr w14:paraId="4FB73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764" w:type="dxa"/>
            <w:shd w:val="clear" w:color="auto" w:fill="DEEBF6"/>
            <w:vAlign w:val="center"/>
          </w:tcPr>
          <w:p w14:paraId="19A05782">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课程类型</w:t>
            </w:r>
          </w:p>
        </w:tc>
        <w:tc>
          <w:tcPr>
            <w:tcW w:w="4322" w:type="dxa"/>
            <w:gridSpan w:val="3"/>
            <w:shd w:val="clear" w:color="auto" w:fill="auto"/>
          </w:tcPr>
          <w:p w14:paraId="3F7F8520">
            <w:pPr>
              <w:spacing w:line="360" w:lineRule="auto"/>
              <w:rPr>
                <w:rFonts w:ascii="仿宋" w:hAnsi="仿宋" w:eastAsia="仿宋" w:cs="仿宋"/>
                <w:b/>
                <w:bCs/>
                <w:sz w:val="28"/>
                <w:szCs w:val="28"/>
              </w:rPr>
            </w:pPr>
            <w:r>
              <w:rPr>
                <w:rFonts w:hint="eastAsia" w:ascii="仿宋" w:hAnsi="仿宋" w:eastAsia="仿宋" w:cs="仿宋"/>
                <w:b/>
                <w:bCs/>
                <w:sz w:val="28"/>
                <w:szCs w:val="28"/>
              </w:rPr>
              <w:t>专业拓展课</w:t>
            </w:r>
          </w:p>
        </w:tc>
        <w:tc>
          <w:tcPr>
            <w:tcW w:w="1510" w:type="dxa"/>
            <w:shd w:val="clear" w:color="auto" w:fill="DEEBF6"/>
            <w:vAlign w:val="center"/>
          </w:tcPr>
          <w:p w14:paraId="6E059248">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授课学时</w:t>
            </w:r>
          </w:p>
        </w:tc>
        <w:tc>
          <w:tcPr>
            <w:tcW w:w="3176" w:type="dxa"/>
            <w:gridSpan w:val="3"/>
          </w:tcPr>
          <w:p w14:paraId="38D1CA17">
            <w:pPr>
              <w:spacing w:line="360" w:lineRule="auto"/>
              <w:rPr>
                <w:rFonts w:ascii="仿宋" w:hAnsi="仿宋" w:eastAsia="仿宋" w:cs="仿宋"/>
                <w:b/>
                <w:bCs/>
                <w:sz w:val="28"/>
                <w:szCs w:val="28"/>
              </w:rPr>
            </w:pPr>
            <w:r>
              <w:rPr>
                <w:rFonts w:hint="eastAsia" w:ascii="仿宋" w:hAnsi="仿宋" w:eastAsia="仿宋" w:cs="仿宋"/>
                <w:b/>
                <w:bCs/>
                <w:sz w:val="28"/>
                <w:szCs w:val="28"/>
              </w:rPr>
              <w:t>2学时（90分钟）</w:t>
            </w:r>
          </w:p>
        </w:tc>
      </w:tr>
      <w:tr w14:paraId="7064E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764" w:type="dxa"/>
            <w:shd w:val="clear" w:color="auto" w:fill="DEEBF6"/>
            <w:vAlign w:val="center"/>
          </w:tcPr>
          <w:p w14:paraId="6B642995">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授课内容</w:t>
            </w:r>
          </w:p>
        </w:tc>
        <w:tc>
          <w:tcPr>
            <w:tcW w:w="4322" w:type="dxa"/>
            <w:gridSpan w:val="3"/>
            <w:shd w:val="clear" w:color="auto" w:fill="auto"/>
          </w:tcPr>
          <w:p w14:paraId="4806F708">
            <w:pPr>
              <w:spacing w:line="360" w:lineRule="auto"/>
              <w:rPr>
                <w:rFonts w:ascii="仿宋" w:hAnsi="仿宋" w:eastAsia="仿宋" w:cs="仿宋"/>
                <w:b/>
                <w:bCs/>
                <w:sz w:val="24"/>
                <w:szCs w:val="24"/>
              </w:rPr>
            </w:pPr>
            <w:r>
              <w:rPr>
                <w:rFonts w:hint="eastAsia" w:ascii="仿宋" w:hAnsi="仿宋" w:eastAsia="仿宋" w:cs="仿宋"/>
                <w:b/>
                <w:bCs/>
                <w:sz w:val="24"/>
                <w:szCs w:val="24"/>
              </w:rPr>
              <w:t>任务七 癌症患者的护理伦理</w:t>
            </w:r>
          </w:p>
          <w:p w14:paraId="27CB6BFC">
            <w:pPr>
              <w:spacing w:line="360" w:lineRule="auto"/>
              <w:rPr>
                <w:rFonts w:ascii="仿宋" w:hAnsi="仿宋" w:eastAsia="仿宋" w:cs="仿宋"/>
                <w:b/>
                <w:bCs/>
                <w:sz w:val="28"/>
                <w:szCs w:val="28"/>
              </w:rPr>
            </w:pPr>
            <w:r>
              <w:rPr>
                <w:rFonts w:hint="eastAsia" w:ascii="仿宋" w:hAnsi="仿宋" w:eastAsia="仿宋" w:cs="仿宋"/>
                <w:b/>
                <w:bCs/>
                <w:sz w:val="24"/>
                <w:szCs w:val="24"/>
              </w:rPr>
              <w:t>任务八 急诊、危重患者的护理伦理</w:t>
            </w:r>
          </w:p>
        </w:tc>
        <w:tc>
          <w:tcPr>
            <w:tcW w:w="1510" w:type="dxa"/>
            <w:shd w:val="clear" w:color="auto" w:fill="DEEBF6"/>
            <w:vAlign w:val="center"/>
          </w:tcPr>
          <w:p w14:paraId="75ADF6F9">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授课方式</w:t>
            </w:r>
          </w:p>
        </w:tc>
        <w:tc>
          <w:tcPr>
            <w:tcW w:w="3176" w:type="dxa"/>
            <w:gridSpan w:val="3"/>
          </w:tcPr>
          <w:p w14:paraId="3FF28CB8">
            <w:pPr>
              <w:spacing w:line="360" w:lineRule="auto"/>
              <w:rPr>
                <w:rFonts w:ascii="仿宋" w:hAnsi="仿宋" w:eastAsia="仿宋" w:cs="仿宋"/>
                <w:b/>
                <w:bCs/>
                <w:sz w:val="28"/>
                <w:szCs w:val="28"/>
              </w:rPr>
            </w:pPr>
            <w:r>
              <w:rPr>
                <w:rFonts w:hint="eastAsia" w:ascii="仿宋" w:hAnsi="仿宋" w:eastAsia="仿宋" w:cs="仿宋"/>
                <w:b/>
                <w:bCs/>
                <w:sz w:val="28"/>
                <w:szCs w:val="28"/>
              </w:rPr>
              <w:t>理论</w:t>
            </w:r>
          </w:p>
        </w:tc>
      </w:tr>
      <w:tr w14:paraId="68365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375ABA90">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（二）教学目标</w:t>
            </w:r>
          </w:p>
        </w:tc>
      </w:tr>
      <w:tr w14:paraId="4D4FF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45" w:type="dxa"/>
            <w:gridSpan w:val="2"/>
            <w:shd w:val="clear" w:color="auto" w:fill="DEEBF6"/>
          </w:tcPr>
          <w:p w14:paraId="663A8176">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知识目标</w:t>
            </w:r>
          </w:p>
        </w:tc>
        <w:tc>
          <w:tcPr>
            <w:tcW w:w="3908" w:type="dxa"/>
            <w:gridSpan w:val="4"/>
            <w:shd w:val="clear" w:color="auto" w:fill="DEEBF6"/>
          </w:tcPr>
          <w:p w14:paraId="3833C85D">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能力目标</w:t>
            </w:r>
          </w:p>
        </w:tc>
        <w:tc>
          <w:tcPr>
            <w:tcW w:w="3119" w:type="dxa"/>
            <w:gridSpan w:val="2"/>
            <w:shd w:val="clear" w:color="auto" w:fill="DEEBF6"/>
          </w:tcPr>
          <w:p w14:paraId="04FE9955">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德育目标（</w:t>
            </w:r>
            <w:r>
              <w:rPr>
                <w:rFonts w:hint="eastAsia" w:ascii="仿宋" w:hAnsi="仿宋" w:eastAsia="仿宋" w:cs="仿宋"/>
                <w:b/>
                <w:bCs/>
                <w:color w:val="FF0000"/>
                <w:sz w:val="28"/>
                <w:szCs w:val="28"/>
              </w:rPr>
              <w:t>思政</w:t>
            </w:r>
            <w:r>
              <w:rPr>
                <w:rFonts w:hint="eastAsia" w:ascii="仿宋" w:hAnsi="仿宋" w:eastAsia="仿宋" w:cs="仿宋"/>
                <w:b/>
                <w:bCs/>
                <w:sz w:val="28"/>
                <w:szCs w:val="28"/>
              </w:rPr>
              <w:t>）</w:t>
            </w:r>
          </w:p>
        </w:tc>
      </w:tr>
      <w:tr w14:paraId="17166D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45" w:type="dxa"/>
            <w:gridSpan w:val="2"/>
          </w:tcPr>
          <w:p w14:paraId="2F9ADB4F">
            <w:pPr>
              <w:spacing w:line="360" w:lineRule="auto"/>
              <w:jc w:val="left"/>
              <w:rPr>
                <w:rFonts w:ascii="仿宋" w:hAnsi="仿宋" w:eastAsia="仿宋" w:cs="仿宋"/>
                <w:sz w:val="24"/>
              </w:rPr>
            </w:pPr>
            <w:r>
              <w:rPr>
                <w:rFonts w:hint="eastAsia" w:ascii="仿宋" w:hAnsi="仿宋" w:eastAsia="仿宋" w:cs="仿宋"/>
                <w:sz w:val="24"/>
              </w:rPr>
              <w:t>1.熟悉癌症、急诊危重患者的护理伦理。</w:t>
            </w:r>
          </w:p>
          <w:p w14:paraId="5569CB9E">
            <w:pPr>
              <w:spacing w:line="360" w:lineRule="auto"/>
            </w:pPr>
            <w:r>
              <w:rPr>
                <w:rFonts w:hint="eastAsia"/>
              </w:rPr>
              <w:t>2</w:t>
            </w:r>
            <w:r>
              <w:t>.</w:t>
            </w:r>
            <w:r>
              <w:rPr>
                <w:rFonts w:hint="eastAsia"/>
              </w:rPr>
              <w:t>掌握</w:t>
            </w:r>
            <w:r>
              <w:rPr>
                <w:rFonts w:hint="eastAsia" w:ascii="仿宋" w:hAnsi="仿宋" w:eastAsia="仿宋" w:cs="仿宋"/>
                <w:sz w:val="24"/>
              </w:rPr>
              <w:t>护理癌症、急诊危重患者工作中常见的护理伦理规范</w:t>
            </w:r>
          </w:p>
        </w:tc>
        <w:tc>
          <w:tcPr>
            <w:tcW w:w="3908" w:type="dxa"/>
            <w:gridSpan w:val="4"/>
          </w:tcPr>
          <w:p w14:paraId="5C327BFD">
            <w:pPr>
              <w:spacing w:line="360" w:lineRule="auto"/>
              <w:jc w:val="left"/>
              <w:rPr>
                <w:rFonts w:ascii="仿宋" w:hAnsi="仿宋" w:eastAsia="仿宋" w:cs="仿宋"/>
                <w:sz w:val="24"/>
              </w:rPr>
            </w:pPr>
            <w:r>
              <w:rPr>
                <w:rFonts w:hint="eastAsia" w:ascii="仿宋" w:hAnsi="仿宋" w:eastAsia="仿宋" w:cs="仿宋"/>
                <w:sz w:val="24"/>
              </w:rPr>
              <w:t>1.学会护理癌症、急诊危重患者工作中常见的护理伦理规范。</w:t>
            </w:r>
          </w:p>
          <w:p w14:paraId="0AE4F664">
            <w:pPr>
              <w:spacing w:line="360" w:lineRule="auto"/>
              <w:jc w:val="left"/>
              <w:rPr>
                <w:rFonts w:ascii="仿宋" w:hAnsi="仿宋" w:eastAsia="仿宋" w:cs="仿宋"/>
                <w:sz w:val="24"/>
              </w:rPr>
            </w:pPr>
            <w:r>
              <w:rPr>
                <w:rFonts w:hint="eastAsia" w:ascii="仿宋" w:hAnsi="仿宋" w:eastAsia="仿宋" w:cs="仿宋"/>
                <w:sz w:val="24"/>
              </w:rPr>
              <w:t>2.会利用癌症、急诊危重患者工作中常见的护理伦理规范解决护患中的伦理问题。</w:t>
            </w:r>
          </w:p>
        </w:tc>
        <w:tc>
          <w:tcPr>
            <w:tcW w:w="3119" w:type="dxa"/>
            <w:gridSpan w:val="2"/>
          </w:tcPr>
          <w:p w14:paraId="3A945C2D">
            <w:pPr>
              <w:spacing w:line="360" w:lineRule="auto"/>
              <w:jc w:val="left"/>
              <w:rPr>
                <w:rFonts w:ascii="仿宋" w:hAnsi="仿宋" w:eastAsia="仿宋" w:cs="仿宋"/>
                <w:sz w:val="24"/>
              </w:rPr>
            </w:pPr>
            <w:r>
              <w:rPr>
                <w:rFonts w:ascii="仿宋" w:hAnsi="仿宋" w:eastAsia="仿宋" w:cs="仿宋"/>
                <w:sz w:val="24"/>
              </w:rPr>
              <w:t>1.</w:t>
            </w:r>
            <w:r>
              <w:rPr>
                <w:rFonts w:hint="eastAsia" w:ascii="仿宋" w:hAnsi="仿宋" w:eastAsia="仿宋" w:cs="仿宋"/>
                <w:b/>
                <w:bCs/>
                <w:sz w:val="24"/>
              </w:rPr>
              <w:t>具有较强的临床科室护理的职业道德素质。</w:t>
            </w:r>
          </w:p>
        </w:tc>
      </w:tr>
      <w:tr w14:paraId="43089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2662F2CF">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（三）学情分析</w:t>
            </w:r>
          </w:p>
        </w:tc>
      </w:tr>
      <w:tr w14:paraId="13CA1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vAlign w:val="center"/>
          </w:tcPr>
          <w:p w14:paraId="6D8690F6">
            <w:pPr>
              <w:spacing w:line="360" w:lineRule="auto"/>
              <w:ind w:firstLine="480" w:firstLineChars="200"/>
              <w:jc w:val="left"/>
              <w:rPr>
                <w:rFonts w:ascii="仿宋" w:hAnsi="仿宋" w:eastAsia="仿宋" w:cs="仿宋"/>
                <w:sz w:val="24"/>
              </w:rPr>
            </w:pPr>
            <w:r>
              <w:rPr>
                <w:rFonts w:hint="eastAsia" w:ascii="仿宋" w:hAnsi="仿宋" w:eastAsia="仿宋" w:cs="仿宋"/>
                <w:sz w:val="24"/>
              </w:rPr>
              <w:t xml:space="preserve">普专护理的学生已经学习了临床护理伦理的相关内容，但对癌症，急诊危重患者的护理伦理特点和规范不是很清楚，有待于进一步的加强学习。课前进行问卷调研，大部分同学对癌症，急诊危重患者的护理伦理特点和规范是较感兴趣的，部分同学有运用伦理学分析问题的意识，但对于癌症，急诊危重患者的护理伦理特点和常用的护理伦理规范不是很清楚，利用临床中常见的护理伦理规范解决癌症，急诊危重患者的护理伦理问题能力还不足。 </w:t>
            </w:r>
          </w:p>
          <w:p w14:paraId="4F012671">
            <w:pPr>
              <w:spacing w:line="360" w:lineRule="auto"/>
              <w:ind w:firstLine="480" w:firstLineChars="200"/>
              <w:jc w:val="left"/>
              <w:rPr>
                <w:rFonts w:ascii="仿宋" w:hAnsi="仿宋" w:eastAsia="仿宋" w:cs="仿宋"/>
                <w:sz w:val="24"/>
              </w:rPr>
            </w:pPr>
            <w:r>
              <w:rPr>
                <w:rFonts w:hint="eastAsia" w:ascii="仿宋" w:hAnsi="仿宋" w:eastAsia="仿宋" w:cs="仿宋"/>
                <w:sz w:val="24"/>
              </w:rPr>
              <w:t>应加强癌症，急诊危重患者的护理伦理特点和常用的护理伦理规范理论讲解，增强利用癌症，急诊危重患者的护理伦理特点和常用的护理伦理规范解决护患中的伦理问题能力，培养临床科室护理的职业道德素质。</w:t>
            </w:r>
          </w:p>
        </w:tc>
      </w:tr>
      <w:tr w14:paraId="40F7B9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8DB3E2"/>
          </w:tcPr>
          <w:p w14:paraId="2DAD6A8B">
            <w:pPr>
              <w:spacing w:line="360" w:lineRule="auto"/>
              <w:jc w:val="center"/>
              <w:rPr>
                <w:rFonts w:ascii="仿宋" w:hAnsi="仿宋" w:eastAsia="仿宋" w:cs="仿宋"/>
                <w:b/>
                <w:bCs/>
                <w:sz w:val="28"/>
                <w:szCs w:val="28"/>
              </w:rPr>
            </w:pPr>
            <w:r>
              <w:rPr>
                <w:rFonts w:hint="eastAsia" w:ascii="仿宋" w:hAnsi="仿宋" w:eastAsia="仿宋" w:cs="仿宋"/>
                <w:b/>
                <w:bCs/>
                <w:sz w:val="28"/>
                <w:szCs w:val="28"/>
                <w:lang w:bidi="ar"/>
              </w:rPr>
              <w:t>（四）教学方法</w:t>
            </w:r>
          </w:p>
        </w:tc>
      </w:tr>
      <w:tr w14:paraId="6F21E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vAlign w:val="center"/>
          </w:tcPr>
          <w:p w14:paraId="57E6D0C2">
            <w:pPr>
              <w:spacing w:line="360" w:lineRule="auto"/>
              <w:ind w:firstLine="480" w:firstLineChars="200"/>
              <w:rPr>
                <w:rFonts w:ascii="仿宋" w:hAnsi="仿宋" w:eastAsia="仿宋" w:cs="仿宋"/>
                <w:sz w:val="24"/>
                <w:lang w:bidi="ar"/>
              </w:rPr>
            </w:pPr>
            <w:r>
              <w:rPr>
                <w:rFonts w:hint="eastAsia" w:ascii="仿宋" w:hAnsi="仿宋" w:eastAsia="仿宋" w:cs="仿宋"/>
                <w:sz w:val="24"/>
                <w:lang w:bidi="ar"/>
              </w:rPr>
              <w:t>讲授法、案例分析法、启发法</w:t>
            </w:r>
          </w:p>
        </w:tc>
      </w:tr>
      <w:tr w14:paraId="6BAE74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8DB3E2"/>
          </w:tcPr>
          <w:p w14:paraId="0E6F6B09">
            <w:pPr>
              <w:spacing w:line="360" w:lineRule="auto"/>
              <w:jc w:val="center"/>
              <w:rPr>
                <w:rFonts w:ascii="仿宋" w:hAnsi="仿宋" w:eastAsia="仿宋" w:cs="仿宋"/>
                <w:b/>
                <w:bCs/>
                <w:sz w:val="28"/>
                <w:szCs w:val="28"/>
              </w:rPr>
            </w:pPr>
            <w:r>
              <w:rPr>
                <w:rFonts w:hint="eastAsia" w:ascii="仿宋" w:hAnsi="仿宋" w:eastAsia="仿宋" w:cs="仿宋"/>
                <w:b/>
                <w:bCs/>
                <w:sz w:val="28"/>
                <w:szCs w:val="28"/>
                <w:lang w:bidi="ar"/>
              </w:rPr>
              <w:t>（五）教学手段</w:t>
            </w:r>
          </w:p>
        </w:tc>
      </w:tr>
      <w:tr w14:paraId="403BFA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vAlign w:val="center"/>
          </w:tcPr>
          <w:p w14:paraId="76DE41D8">
            <w:pPr>
              <w:spacing w:line="360" w:lineRule="auto"/>
              <w:ind w:firstLine="480" w:firstLineChars="200"/>
              <w:jc w:val="left"/>
              <w:rPr>
                <w:rFonts w:ascii="仿宋" w:hAnsi="仿宋" w:eastAsia="仿宋" w:cs="仿宋"/>
                <w:sz w:val="24"/>
              </w:rPr>
            </w:pPr>
            <w:r>
              <w:rPr>
                <w:rFonts w:hint="eastAsia" w:ascii="仿宋" w:hAnsi="仿宋" w:eastAsia="仿宋" w:cs="仿宋"/>
                <w:sz w:val="24"/>
              </w:rPr>
              <w:t>多媒体课件、思维导图、板书、论文、微课</w:t>
            </w:r>
          </w:p>
        </w:tc>
      </w:tr>
      <w:tr w14:paraId="355253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424C0745">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（六）教学内容安排</w:t>
            </w:r>
          </w:p>
        </w:tc>
      </w:tr>
      <w:tr w14:paraId="38A83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tcPr>
          <w:p w14:paraId="503B9CE6">
            <w:pPr>
              <w:spacing w:line="360" w:lineRule="auto"/>
              <w:ind w:firstLine="480" w:firstLineChars="200"/>
              <w:rPr>
                <w:rFonts w:ascii="仿宋" w:hAnsi="仿宋" w:eastAsia="仿宋" w:cs="仿宋"/>
                <w:sz w:val="24"/>
              </w:rPr>
            </w:pPr>
            <w:r>
              <w:rPr>
                <w:rFonts w:hint="eastAsia" w:ascii="仿宋" w:hAnsi="仿宋" w:eastAsia="仿宋" w:cs="仿宋"/>
                <w:sz w:val="24"/>
              </w:rPr>
              <w:t>知识回顾                         2min</w:t>
            </w:r>
          </w:p>
          <w:p w14:paraId="295A93B6">
            <w:pPr>
              <w:spacing w:line="360" w:lineRule="auto"/>
              <w:ind w:firstLine="480" w:firstLineChars="200"/>
              <w:rPr>
                <w:rFonts w:ascii="仿宋" w:hAnsi="仿宋" w:eastAsia="仿宋" w:cs="仿宋"/>
                <w:sz w:val="24"/>
              </w:rPr>
            </w:pPr>
            <w:r>
              <w:rPr>
                <w:rFonts w:hint="eastAsia" w:ascii="仿宋" w:hAnsi="仿宋" w:eastAsia="仿宋" w:cs="仿宋"/>
                <w:sz w:val="24"/>
              </w:rPr>
              <w:t>课前调研结果分析                 2min</w:t>
            </w:r>
          </w:p>
          <w:p w14:paraId="00109238">
            <w:pPr>
              <w:spacing w:line="360" w:lineRule="auto"/>
              <w:ind w:firstLine="480" w:firstLineChars="200"/>
              <w:rPr>
                <w:rFonts w:ascii="仿宋" w:hAnsi="仿宋" w:eastAsia="仿宋" w:cs="仿宋"/>
                <w:sz w:val="24"/>
              </w:rPr>
            </w:pPr>
            <w:r>
              <w:rPr>
                <w:rFonts w:hint="eastAsia" w:ascii="仿宋" w:hAnsi="仿宋" w:eastAsia="仿宋" w:cs="仿宋"/>
                <w:sz w:val="24"/>
              </w:rPr>
              <w:t>教学目标及重难点                 2min</w:t>
            </w:r>
          </w:p>
          <w:p w14:paraId="7C380BEC">
            <w:pPr>
              <w:spacing w:line="360" w:lineRule="auto"/>
              <w:ind w:firstLine="480" w:firstLineChars="200"/>
              <w:rPr>
                <w:rFonts w:ascii="仿宋" w:hAnsi="仿宋" w:eastAsia="仿宋" w:cs="仿宋"/>
                <w:sz w:val="24"/>
              </w:rPr>
            </w:pPr>
            <w:r>
              <w:rPr>
                <w:rFonts w:hint="eastAsia" w:ascii="仿宋" w:hAnsi="仿宋" w:eastAsia="仿宋" w:cs="仿宋"/>
                <w:sz w:val="24"/>
              </w:rPr>
              <w:t>癌症患者的护理伦理               40min</w:t>
            </w:r>
          </w:p>
          <w:p w14:paraId="393D12FA">
            <w:pPr>
              <w:spacing w:line="360" w:lineRule="auto"/>
              <w:ind w:firstLine="480" w:firstLineChars="200"/>
              <w:rPr>
                <w:rFonts w:ascii="仿宋" w:hAnsi="仿宋" w:eastAsia="仿宋" w:cs="仿宋"/>
                <w:sz w:val="24"/>
              </w:rPr>
            </w:pPr>
            <w:r>
              <w:rPr>
                <w:rFonts w:hint="eastAsia" w:ascii="仿宋" w:hAnsi="仿宋" w:eastAsia="仿宋" w:cs="仿宋"/>
                <w:sz w:val="24"/>
              </w:rPr>
              <w:t xml:space="preserve">急诊、危重患者的护理伦理 </w:t>
            </w:r>
            <w:r>
              <w:rPr>
                <w:rFonts w:ascii="仿宋" w:hAnsi="仿宋" w:eastAsia="仿宋" w:cs="仿宋"/>
                <w:sz w:val="24"/>
              </w:rPr>
              <w:t xml:space="preserve">        </w:t>
            </w:r>
            <w:r>
              <w:rPr>
                <w:rFonts w:hint="eastAsia" w:ascii="仿宋" w:hAnsi="仿宋" w:eastAsia="仿宋" w:cs="仿宋"/>
                <w:sz w:val="24"/>
              </w:rPr>
              <w:t>40min</w:t>
            </w:r>
          </w:p>
          <w:p w14:paraId="6A2FE564">
            <w:pPr>
              <w:spacing w:line="360" w:lineRule="auto"/>
              <w:ind w:firstLine="480" w:firstLineChars="200"/>
              <w:rPr>
                <w:rFonts w:ascii="仿宋" w:hAnsi="仿宋" w:eastAsia="仿宋" w:cs="仿宋"/>
                <w:sz w:val="24"/>
              </w:rPr>
            </w:pPr>
            <w:r>
              <w:rPr>
                <w:rFonts w:hint="eastAsia" w:ascii="仿宋" w:hAnsi="仿宋" w:eastAsia="仿宋" w:cs="仿宋"/>
                <w:sz w:val="24"/>
              </w:rPr>
              <w:t>总结                             2min</w:t>
            </w:r>
          </w:p>
          <w:p w14:paraId="0B0931C7">
            <w:pPr>
              <w:spacing w:line="360" w:lineRule="auto"/>
              <w:ind w:firstLine="480" w:firstLineChars="200"/>
              <w:rPr>
                <w:rFonts w:ascii="仿宋" w:hAnsi="仿宋" w:eastAsia="仿宋" w:cs="仿宋"/>
                <w:sz w:val="24"/>
              </w:rPr>
            </w:pPr>
            <w:r>
              <w:rPr>
                <w:rFonts w:hint="eastAsia" w:ascii="仿宋" w:hAnsi="仿宋" w:eastAsia="仿宋" w:cs="仿宋"/>
                <w:sz w:val="24"/>
              </w:rPr>
              <w:t>作业                             2min</w:t>
            </w:r>
          </w:p>
        </w:tc>
      </w:tr>
      <w:tr w14:paraId="761075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496" w:type="dxa"/>
            <w:gridSpan w:val="3"/>
            <w:shd w:val="clear" w:color="auto" w:fill="DEEAF6"/>
          </w:tcPr>
          <w:p w14:paraId="4857082E">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教学重点</w:t>
            </w:r>
          </w:p>
        </w:tc>
        <w:tc>
          <w:tcPr>
            <w:tcW w:w="5276" w:type="dxa"/>
            <w:gridSpan w:val="5"/>
            <w:shd w:val="clear" w:color="auto" w:fill="DEEAF6"/>
            <w:vAlign w:val="center"/>
          </w:tcPr>
          <w:p w14:paraId="612DE825">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教学难点</w:t>
            </w:r>
          </w:p>
        </w:tc>
      </w:tr>
      <w:tr w14:paraId="0DABCA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496" w:type="dxa"/>
            <w:gridSpan w:val="3"/>
            <w:vAlign w:val="center"/>
          </w:tcPr>
          <w:p w14:paraId="18DCA4C0">
            <w:pPr>
              <w:spacing w:line="360" w:lineRule="auto"/>
              <w:rPr>
                <w:rFonts w:ascii="仿宋" w:hAnsi="仿宋" w:eastAsia="仿宋" w:cs="仿宋"/>
                <w:sz w:val="24"/>
              </w:rPr>
            </w:pPr>
            <w:r>
              <w:rPr>
                <w:rFonts w:hint="eastAsia" w:ascii="仿宋" w:hAnsi="仿宋" w:eastAsia="仿宋" w:cs="仿宋"/>
                <w:sz w:val="24"/>
              </w:rPr>
              <w:t>1.癌症患者护理的护理伦理</w:t>
            </w:r>
          </w:p>
          <w:p w14:paraId="4068CC16">
            <w:pPr>
              <w:spacing w:line="360" w:lineRule="auto"/>
              <w:rPr>
                <w:rFonts w:ascii="仿宋" w:hAnsi="仿宋" w:eastAsia="仿宋" w:cs="仿宋"/>
                <w:sz w:val="24"/>
              </w:rPr>
            </w:pPr>
            <w:r>
              <w:rPr>
                <w:rFonts w:hint="eastAsia" w:ascii="仿宋" w:hAnsi="仿宋" w:eastAsia="仿宋" w:cs="仿宋"/>
                <w:sz w:val="24"/>
              </w:rPr>
              <w:t>2.急诊、危重患者护理的护理伦理</w:t>
            </w:r>
          </w:p>
          <w:p w14:paraId="0E8AE82A">
            <w:pPr>
              <w:spacing w:line="360" w:lineRule="auto"/>
              <w:rPr>
                <w:rFonts w:ascii="仿宋" w:hAnsi="仿宋" w:eastAsia="仿宋" w:cs="仿宋"/>
                <w:sz w:val="24"/>
              </w:rPr>
            </w:pPr>
            <w:r>
              <w:rPr>
                <w:rFonts w:hint="eastAsia" w:ascii="仿宋" w:hAnsi="仿宋" w:eastAsia="仿宋" w:cs="仿宋"/>
                <w:sz w:val="24"/>
              </w:rPr>
              <w:t>对策：</w:t>
            </w:r>
          </w:p>
          <w:p w14:paraId="6B52DB6E">
            <w:pPr>
              <w:spacing w:line="360" w:lineRule="auto"/>
              <w:rPr>
                <w:rFonts w:ascii="仿宋" w:hAnsi="仿宋" w:eastAsia="仿宋" w:cs="仿宋"/>
                <w:sz w:val="24"/>
              </w:rPr>
            </w:pPr>
            <w:r>
              <w:rPr>
                <w:rFonts w:hint="eastAsia" w:ascii="仿宋" w:hAnsi="仿宋" w:eastAsia="仿宋" w:cs="仿宋"/>
                <w:b/>
                <w:bCs/>
                <w:sz w:val="24"/>
              </w:rPr>
              <w:t>课前：</w:t>
            </w:r>
            <w:r>
              <w:rPr>
                <w:rFonts w:hint="eastAsia" w:ascii="仿宋" w:hAnsi="仿宋" w:eastAsia="仿宋" w:cs="仿宋"/>
                <w:sz w:val="24"/>
              </w:rPr>
              <w:t>问卷调研分析学情，对老年病和精神病相关科室的护理伦理规范的了解不足；在职教云上传相关微课。</w:t>
            </w:r>
          </w:p>
          <w:p w14:paraId="19B0AF9A">
            <w:pPr>
              <w:spacing w:line="360" w:lineRule="auto"/>
              <w:rPr>
                <w:rFonts w:ascii="仿宋" w:hAnsi="仿宋" w:eastAsia="仿宋" w:cs="仿宋"/>
                <w:sz w:val="24"/>
              </w:rPr>
            </w:pPr>
            <w:r>
              <w:rPr>
                <w:rFonts w:hint="eastAsia" w:ascii="仿宋" w:hAnsi="仿宋" w:eastAsia="仿宋" w:cs="仿宋"/>
                <w:b/>
                <w:bCs/>
                <w:sz w:val="24"/>
              </w:rPr>
              <w:t>课中：通过教师讲解、启发提问、小组讨论、案例分析解决重点内容</w:t>
            </w:r>
            <w:r>
              <w:rPr>
                <w:rFonts w:hint="eastAsia" w:ascii="仿宋" w:hAnsi="仿宋" w:eastAsia="仿宋" w:cs="仿宋"/>
                <w:sz w:val="24"/>
              </w:rPr>
              <w:t>。</w:t>
            </w:r>
          </w:p>
          <w:p w14:paraId="1EDCFFA0">
            <w:pPr>
              <w:spacing w:line="360" w:lineRule="auto"/>
              <w:rPr>
                <w:rFonts w:ascii="仿宋" w:hAnsi="仿宋" w:eastAsia="仿宋" w:cs="仿宋"/>
                <w:sz w:val="24"/>
              </w:rPr>
            </w:pPr>
            <w:r>
              <w:rPr>
                <w:rFonts w:hint="eastAsia" w:ascii="仿宋" w:hAnsi="仿宋" w:eastAsia="仿宋" w:cs="仿宋"/>
                <w:b/>
                <w:bCs/>
                <w:sz w:val="24"/>
              </w:rPr>
              <w:t>课下：</w:t>
            </w:r>
            <w:r>
              <w:rPr>
                <w:rFonts w:hint="eastAsia" w:ascii="仿宋" w:hAnsi="仿宋" w:eastAsia="仿宋" w:cs="仿宋"/>
                <w:sz w:val="24"/>
              </w:rPr>
              <w:t>线上布置任务，完成习题作业和线上答疑。</w:t>
            </w:r>
          </w:p>
        </w:tc>
        <w:tc>
          <w:tcPr>
            <w:tcW w:w="5276" w:type="dxa"/>
            <w:gridSpan w:val="5"/>
            <w:vAlign w:val="center"/>
          </w:tcPr>
          <w:p w14:paraId="784D8E04">
            <w:pPr>
              <w:spacing w:line="360" w:lineRule="auto"/>
              <w:rPr>
                <w:rFonts w:ascii="仿宋" w:hAnsi="仿宋" w:eastAsia="仿宋" w:cs="仿宋"/>
                <w:sz w:val="24"/>
              </w:rPr>
            </w:pPr>
            <w:r>
              <w:rPr>
                <w:rFonts w:hint="eastAsia" w:ascii="仿宋" w:hAnsi="仿宋" w:eastAsia="仿宋" w:cs="仿宋"/>
                <w:sz w:val="24"/>
              </w:rPr>
              <w:t>1.护理伦理规范在护理癌症患者工作中的应用。</w:t>
            </w:r>
          </w:p>
          <w:p w14:paraId="4BCFC449">
            <w:pPr>
              <w:spacing w:line="360" w:lineRule="auto"/>
              <w:rPr>
                <w:rFonts w:ascii="仿宋" w:hAnsi="仿宋" w:eastAsia="仿宋" w:cs="仿宋"/>
                <w:sz w:val="24"/>
              </w:rPr>
            </w:pPr>
            <w:r>
              <w:rPr>
                <w:rFonts w:hint="eastAsia" w:ascii="仿宋" w:hAnsi="仿宋" w:eastAsia="仿宋" w:cs="仿宋"/>
                <w:sz w:val="24"/>
              </w:rPr>
              <w:t>2.护理伦理规范在护理急诊、危重患者工作中的应用。</w:t>
            </w:r>
          </w:p>
          <w:p w14:paraId="5735F6ED">
            <w:pPr>
              <w:spacing w:line="360" w:lineRule="auto"/>
              <w:rPr>
                <w:rFonts w:ascii="仿宋" w:hAnsi="仿宋" w:eastAsia="仿宋" w:cs="仿宋"/>
                <w:sz w:val="24"/>
              </w:rPr>
            </w:pPr>
            <w:r>
              <w:rPr>
                <w:rFonts w:hint="eastAsia" w:ascii="仿宋" w:hAnsi="仿宋" w:eastAsia="仿宋" w:cs="仿宋"/>
                <w:sz w:val="24"/>
              </w:rPr>
              <w:t>对策：</w:t>
            </w:r>
          </w:p>
          <w:p w14:paraId="79269080">
            <w:pPr>
              <w:spacing w:line="360" w:lineRule="auto"/>
              <w:rPr>
                <w:rFonts w:ascii="仿宋" w:hAnsi="仿宋" w:eastAsia="仿宋" w:cs="仿宋"/>
                <w:sz w:val="24"/>
              </w:rPr>
            </w:pPr>
            <w:r>
              <w:rPr>
                <w:rFonts w:hint="eastAsia" w:ascii="仿宋" w:hAnsi="仿宋" w:eastAsia="仿宋" w:cs="仿宋"/>
                <w:b/>
                <w:bCs/>
                <w:sz w:val="24"/>
              </w:rPr>
              <w:t>课前：</w:t>
            </w:r>
            <w:r>
              <w:rPr>
                <w:rFonts w:hint="eastAsia" w:ascii="仿宋" w:hAnsi="仿宋" w:eastAsia="仿宋" w:cs="仿宋"/>
                <w:sz w:val="24"/>
              </w:rPr>
              <w:t>问卷调研分析学情，明确教学重难点。职教云上传相关微课，布置课前预习任务。</w:t>
            </w:r>
          </w:p>
          <w:p w14:paraId="418D8639">
            <w:pPr>
              <w:spacing w:line="360" w:lineRule="auto"/>
              <w:rPr>
                <w:rFonts w:ascii="仿宋" w:hAnsi="仿宋" w:eastAsia="仿宋" w:cs="仿宋"/>
                <w:sz w:val="24"/>
              </w:rPr>
            </w:pPr>
            <w:r>
              <w:rPr>
                <w:rFonts w:hint="eastAsia" w:ascii="仿宋" w:hAnsi="仿宋" w:eastAsia="仿宋" w:cs="仿宋"/>
                <w:b/>
                <w:bCs/>
                <w:sz w:val="24"/>
              </w:rPr>
              <w:t>课中：教师讲授、案例分析、启发诱导、小组讨论</w:t>
            </w:r>
            <w:r>
              <w:rPr>
                <w:rFonts w:hint="eastAsia" w:ascii="仿宋" w:hAnsi="仿宋" w:eastAsia="仿宋" w:cs="仿宋"/>
                <w:sz w:val="24"/>
              </w:rPr>
              <w:t>。</w:t>
            </w:r>
          </w:p>
          <w:p w14:paraId="3948DEDC">
            <w:pPr>
              <w:spacing w:line="360" w:lineRule="auto"/>
              <w:rPr>
                <w:rFonts w:ascii="仿宋" w:hAnsi="仿宋" w:eastAsia="仿宋" w:cs="仿宋"/>
                <w:sz w:val="24"/>
              </w:rPr>
            </w:pPr>
            <w:r>
              <w:rPr>
                <w:rFonts w:hint="eastAsia" w:ascii="仿宋" w:hAnsi="仿宋" w:eastAsia="仿宋" w:cs="仿宋"/>
                <w:b/>
                <w:bCs/>
                <w:sz w:val="24"/>
              </w:rPr>
              <w:t>课下：</w:t>
            </w:r>
            <w:r>
              <w:rPr>
                <w:rFonts w:hint="eastAsia" w:ascii="仿宋" w:hAnsi="仿宋" w:eastAsia="仿宋" w:cs="仿宋"/>
                <w:sz w:val="24"/>
              </w:rPr>
              <w:t>线上布置任务，完成习题作业和线上答疑。</w:t>
            </w:r>
          </w:p>
        </w:tc>
      </w:tr>
      <w:tr w14:paraId="6EDB62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3D30E11A">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（七）教学方法与资源</w:t>
            </w:r>
          </w:p>
        </w:tc>
      </w:tr>
      <w:tr w14:paraId="451B01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0" w:type="dxa"/>
          <w:trHeight w:val="567" w:hRule="atLeast"/>
          <w:jc w:val="center"/>
        </w:trPr>
        <w:tc>
          <w:tcPr>
            <w:tcW w:w="5496" w:type="dxa"/>
            <w:gridSpan w:val="3"/>
            <w:shd w:val="clear" w:color="auto" w:fill="DEEAF6"/>
          </w:tcPr>
          <w:p w14:paraId="502945A5">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使用教材及主要参考教材</w:t>
            </w:r>
          </w:p>
        </w:tc>
        <w:tc>
          <w:tcPr>
            <w:tcW w:w="5246" w:type="dxa"/>
            <w:gridSpan w:val="4"/>
            <w:shd w:val="clear" w:color="auto" w:fill="DEEAF6"/>
          </w:tcPr>
          <w:p w14:paraId="472462CA">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其他</w:t>
            </w:r>
          </w:p>
        </w:tc>
      </w:tr>
      <w:tr w14:paraId="26C7DF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0" w:type="dxa"/>
          <w:trHeight w:val="567" w:hRule="atLeast"/>
          <w:jc w:val="center"/>
        </w:trPr>
        <w:tc>
          <w:tcPr>
            <w:tcW w:w="5496" w:type="dxa"/>
            <w:gridSpan w:val="3"/>
          </w:tcPr>
          <w:p w14:paraId="54978751">
            <w:pPr>
              <w:spacing w:line="360" w:lineRule="auto"/>
              <w:jc w:val="left"/>
              <w:rPr>
                <w:rFonts w:ascii="仿宋" w:hAnsi="仿宋" w:eastAsia="仿宋" w:cs="仿宋"/>
                <w:b/>
                <w:bCs/>
                <w:sz w:val="28"/>
                <w:szCs w:val="28"/>
              </w:rPr>
            </w:pPr>
            <w:r>
              <w:rPr>
                <w:rFonts w:hint="eastAsia" w:ascii="仿宋" w:hAnsi="仿宋" w:eastAsia="仿宋" w:cs="仿宋"/>
                <w:b/>
                <w:bCs/>
                <w:sz w:val="28"/>
                <w:szCs w:val="28"/>
              </w:rPr>
              <w:t xml:space="preserve"> </w:t>
            </w:r>
            <w:r>
              <w:rPr>
                <w:rFonts w:hint="eastAsia" w:ascii="仿宋" w:hAnsi="仿宋" w:eastAsia="仿宋" w:cs="仿宋"/>
                <w:b/>
                <w:bCs/>
                <w:sz w:val="28"/>
                <w:szCs w:val="28"/>
              </w:rPr>
              <w:drawing>
                <wp:inline distT="0" distB="0" distL="114300" distR="114300">
                  <wp:extent cx="1076960" cy="1461135"/>
                  <wp:effectExtent l="0" t="0" r="8890" b="5715"/>
                  <wp:docPr id="1" name="图片 1" descr="847b241cda15149b93766219ff89d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847b241cda15149b93766219ff89d70"/>
                          <pic:cNvPicPr>
                            <a:picLocks noChangeAspect="1"/>
                          </pic:cNvPicPr>
                        </pic:nvPicPr>
                        <pic:blipFill>
                          <a:blip r:embed="rId7"/>
                          <a:stretch>
                            <a:fillRect/>
                          </a:stretch>
                        </pic:blipFill>
                        <pic:spPr>
                          <a:xfrm>
                            <a:off x="0" y="0"/>
                            <a:ext cx="1076960" cy="1461135"/>
                          </a:xfrm>
                          <a:prstGeom prst="rect">
                            <a:avLst/>
                          </a:prstGeom>
                          <a:noFill/>
                          <a:ln>
                            <a:noFill/>
                          </a:ln>
                        </pic:spPr>
                      </pic:pic>
                    </a:graphicData>
                  </a:graphic>
                </wp:inline>
              </w:drawing>
            </w: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1083945" cy="1473200"/>
                  <wp:effectExtent l="0" t="0" r="1905" b="12700"/>
                  <wp:docPr id="2" name="图片 2" descr="16297886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629788608(1)"/>
                          <pic:cNvPicPr>
                            <a:picLocks noChangeAspect="1"/>
                          </pic:cNvPicPr>
                        </pic:nvPicPr>
                        <pic:blipFill>
                          <a:blip r:embed="rId8"/>
                          <a:stretch>
                            <a:fillRect/>
                          </a:stretch>
                        </pic:blipFill>
                        <pic:spPr>
                          <a:xfrm>
                            <a:off x="0" y="0"/>
                            <a:ext cx="1083945" cy="1473200"/>
                          </a:xfrm>
                          <a:prstGeom prst="rect">
                            <a:avLst/>
                          </a:prstGeom>
                          <a:noFill/>
                          <a:ln>
                            <a:noFill/>
                          </a:ln>
                        </pic:spPr>
                      </pic:pic>
                    </a:graphicData>
                  </a:graphic>
                </wp:inline>
              </w:drawing>
            </w:r>
          </w:p>
          <w:p w14:paraId="65FCA603">
            <w:pPr>
              <w:spacing w:line="360" w:lineRule="auto"/>
              <w:jc w:val="left"/>
              <w:rPr>
                <w:rFonts w:ascii="仿宋" w:hAnsi="仿宋" w:eastAsia="仿宋" w:cs="仿宋"/>
                <w:b/>
                <w:bCs/>
                <w:sz w:val="28"/>
                <w:szCs w:val="28"/>
              </w:rPr>
            </w:pP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1042035" cy="1553845"/>
                  <wp:effectExtent l="0" t="0" r="5715" b="8255"/>
                  <wp:docPr id="24" name="图片 24" descr="16297889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1629788927(1)"/>
                          <pic:cNvPicPr>
                            <a:picLocks noChangeAspect="1"/>
                          </pic:cNvPicPr>
                        </pic:nvPicPr>
                        <pic:blipFill>
                          <a:blip r:embed="rId9"/>
                          <a:stretch>
                            <a:fillRect/>
                          </a:stretch>
                        </pic:blipFill>
                        <pic:spPr>
                          <a:xfrm>
                            <a:off x="0" y="0"/>
                            <a:ext cx="1042035" cy="1553845"/>
                          </a:xfrm>
                          <a:prstGeom prst="rect">
                            <a:avLst/>
                          </a:prstGeom>
                          <a:noFill/>
                          <a:ln>
                            <a:noFill/>
                          </a:ln>
                        </pic:spPr>
                      </pic:pic>
                    </a:graphicData>
                  </a:graphic>
                </wp:inline>
              </w:drawing>
            </w: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979805" cy="1390015"/>
                  <wp:effectExtent l="0" t="0" r="10795" b="635"/>
                  <wp:docPr id="4" name="图片 4" descr="16297985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629798548(1)"/>
                          <pic:cNvPicPr>
                            <a:picLocks noChangeAspect="1"/>
                          </pic:cNvPicPr>
                        </pic:nvPicPr>
                        <pic:blipFill>
                          <a:blip r:embed="rId10"/>
                          <a:stretch>
                            <a:fillRect/>
                          </a:stretch>
                        </pic:blipFill>
                        <pic:spPr>
                          <a:xfrm>
                            <a:off x="0" y="0"/>
                            <a:ext cx="979805" cy="1390015"/>
                          </a:xfrm>
                          <a:prstGeom prst="rect">
                            <a:avLst/>
                          </a:prstGeom>
                          <a:noFill/>
                          <a:ln>
                            <a:noFill/>
                          </a:ln>
                        </pic:spPr>
                      </pic:pic>
                    </a:graphicData>
                  </a:graphic>
                </wp:inline>
              </w:drawing>
            </w:r>
          </w:p>
        </w:tc>
        <w:tc>
          <w:tcPr>
            <w:tcW w:w="5246" w:type="dxa"/>
            <w:gridSpan w:val="4"/>
          </w:tcPr>
          <w:p w14:paraId="44BCA000">
            <w:pPr>
              <w:spacing w:line="360" w:lineRule="auto"/>
              <w:jc w:val="left"/>
              <w:rPr>
                <w:rFonts w:ascii="仿宋" w:hAnsi="仿宋" w:eastAsia="仿宋" w:cs="仿宋"/>
                <w:b/>
                <w:bCs/>
                <w:sz w:val="28"/>
                <w:szCs w:val="28"/>
              </w:rPr>
            </w:pPr>
            <w:r>
              <w:rPr>
                <w:rFonts w:hint="eastAsia" w:ascii="仿宋" w:hAnsi="仿宋" w:eastAsia="仿宋" w:cs="仿宋"/>
                <w:b/>
                <w:bCs/>
                <w:sz w:val="28"/>
                <w:szCs w:val="28"/>
              </w:rPr>
              <w:t xml:space="preserve">  </w:t>
            </w:r>
            <w:r>
              <w:rPr>
                <w:rFonts w:hint="eastAsia" w:ascii="仿宋" w:hAnsi="仿宋" w:eastAsia="仿宋" w:cs="仿宋"/>
                <w:b/>
                <w:bCs/>
                <w:sz w:val="28"/>
                <w:szCs w:val="28"/>
              </w:rPr>
              <w:drawing>
                <wp:inline distT="0" distB="0" distL="114300" distR="114300">
                  <wp:extent cx="1118870" cy="862965"/>
                  <wp:effectExtent l="0" t="0" r="5080" b="13335"/>
                  <wp:docPr id="25" name="图片 25" descr="16201898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1620189801(1)"/>
                          <pic:cNvPicPr>
                            <a:picLocks noChangeAspect="1"/>
                          </pic:cNvPicPr>
                        </pic:nvPicPr>
                        <pic:blipFill>
                          <a:blip r:embed="rId11"/>
                          <a:stretch>
                            <a:fillRect/>
                          </a:stretch>
                        </pic:blipFill>
                        <pic:spPr>
                          <a:xfrm>
                            <a:off x="0" y="0"/>
                            <a:ext cx="1118870" cy="862965"/>
                          </a:xfrm>
                          <a:prstGeom prst="rect">
                            <a:avLst/>
                          </a:prstGeom>
                          <a:noFill/>
                          <a:ln>
                            <a:noFill/>
                          </a:ln>
                        </pic:spPr>
                      </pic:pic>
                    </a:graphicData>
                  </a:graphic>
                </wp:inline>
              </w:drawing>
            </w:r>
            <w:r>
              <w:rPr>
                <w:rFonts w:hint="eastAsia" w:ascii="仿宋" w:hAnsi="仿宋" w:eastAsia="仿宋" w:cs="仿宋"/>
                <w:b/>
                <w:bCs/>
                <w:sz w:val="28"/>
                <w:szCs w:val="28"/>
              </w:rPr>
              <w:t xml:space="preserve">         </w:t>
            </w:r>
            <w:r>
              <w:rPr>
                <w:rFonts w:hint="eastAsia" w:ascii="仿宋" w:hAnsi="仿宋" w:eastAsia="仿宋" w:cs="仿宋"/>
                <w:b/>
                <w:bCs/>
                <w:sz w:val="28"/>
                <w:szCs w:val="28"/>
              </w:rPr>
              <w:drawing>
                <wp:inline distT="0" distB="0" distL="114300" distR="114300">
                  <wp:extent cx="763270" cy="763270"/>
                  <wp:effectExtent l="0" t="0" r="17780" b="17780"/>
                  <wp:docPr id="26" name="图片 26" descr="16201899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1620189909(1)"/>
                          <pic:cNvPicPr>
                            <a:picLocks noChangeAspect="1"/>
                          </pic:cNvPicPr>
                        </pic:nvPicPr>
                        <pic:blipFill>
                          <a:blip r:embed="rId12"/>
                          <a:stretch>
                            <a:fillRect/>
                          </a:stretch>
                        </pic:blipFill>
                        <pic:spPr>
                          <a:xfrm>
                            <a:off x="0" y="0"/>
                            <a:ext cx="763270" cy="763270"/>
                          </a:xfrm>
                          <a:prstGeom prst="rect">
                            <a:avLst/>
                          </a:prstGeom>
                          <a:noFill/>
                          <a:ln>
                            <a:noFill/>
                          </a:ln>
                        </pic:spPr>
                      </pic:pic>
                    </a:graphicData>
                  </a:graphic>
                </wp:inline>
              </w:drawing>
            </w:r>
          </w:p>
          <w:p w14:paraId="0C745EA9">
            <w:pPr>
              <w:spacing w:line="360" w:lineRule="auto"/>
              <w:jc w:val="left"/>
              <w:rPr>
                <w:rFonts w:ascii="仿宋" w:hAnsi="仿宋" w:eastAsia="仿宋" w:cs="仿宋"/>
                <w:b/>
                <w:bCs/>
                <w:sz w:val="28"/>
                <w:szCs w:val="28"/>
              </w:rPr>
            </w:pPr>
            <w:r>
              <w:rPr>
                <w:rFonts w:hint="eastAsia" w:ascii="仿宋" w:hAnsi="仿宋" w:eastAsia="仿宋" w:cs="仿宋"/>
                <w:b/>
                <w:bCs/>
                <w:sz w:val="28"/>
                <w:szCs w:val="28"/>
              </w:rPr>
              <w:t xml:space="preserve">  </w:t>
            </w:r>
          </w:p>
          <w:p w14:paraId="24671D0E">
            <w:pPr>
              <w:spacing w:line="360" w:lineRule="auto"/>
              <w:jc w:val="left"/>
              <w:rPr>
                <w:rFonts w:ascii="仿宋" w:hAnsi="仿宋" w:eastAsia="仿宋" w:cs="仿宋"/>
                <w:b/>
                <w:bCs/>
                <w:sz w:val="28"/>
                <w:szCs w:val="28"/>
              </w:rPr>
            </w:pPr>
            <w:r>
              <w:rPr>
                <w:rFonts w:ascii="仿宋" w:hAnsi="仿宋" w:eastAsia="仿宋" w:cs="仿宋"/>
                <w:b/>
                <w:bCs/>
                <w:sz w:val="28"/>
                <w:szCs w:val="28"/>
              </w:rPr>
              <w:drawing>
                <wp:inline distT="0" distB="0" distL="114300" distR="114300">
                  <wp:extent cx="2333625" cy="980440"/>
                  <wp:effectExtent l="0" t="0" r="0" b="0"/>
                  <wp:docPr id="27" name="图片 27" descr="16201898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1620189844(1)"/>
                          <pic:cNvPicPr>
                            <a:picLocks noChangeAspect="1"/>
                          </pic:cNvPicPr>
                        </pic:nvPicPr>
                        <pic:blipFill>
                          <a:blip r:embed="rId13"/>
                          <a:srcRect r="436" b="1167"/>
                          <a:stretch>
                            <a:fillRect/>
                          </a:stretch>
                        </pic:blipFill>
                        <pic:spPr>
                          <a:xfrm>
                            <a:off x="0" y="0"/>
                            <a:ext cx="2333625" cy="980440"/>
                          </a:xfrm>
                          <a:prstGeom prst="rect">
                            <a:avLst/>
                          </a:prstGeom>
                          <a:noFill/>
                          <a:ln>
                            <a:noFill/>
                          </a:ln>
                        </pic:spPr>
                      </pic:pic>
                    </a:graphicData>
                  </a:graphic>
                </wp:inline>
              </w:drawing>
            </w:r>
          </w:p>
          <w:p w14:paraId="3B2510D4">
            <w:pPr>
              <w:spacing w:line="360" w:lineRule="auto"/>
              <w:jc w:val="left"/>
              <w:rPr>
                <w:rFonts w:ascii="仿宋" w:hAnsi="仿宋" w:eastAsia="仿宋" w:cs="仿宋"/>
                <w:b/>
                <w:bCs/>
                <w:sz w:val="28"/>
                <w:szCs w:val="28"/>
              </w:rPr>
            </w:pPr>
            <w:r>
              <w:rPr>
                <w:rFonts w:hint="eastAsia" w:ascii="仿宋" w:hAnsi="仿宋" w:eastAsia="仿宋" w:cs="仿宋"/>
                <w:b/>
                <w:bCs/>
                <w:sz w:val="28"/>
                <w:szCs w:val="28"/>
              </w:rPr>
              <w:t xml:space="preserve">   </w:t>
            </w:r>
          </w:p>
        </w:tc>
      </w:tr>
    </w:tbl>
    <w:p w14:paraId="7C97030D">
      <w:pPr>
        <w:rPr>
          <w:rFonts w:hint="eastAsia"/>
        </w:rPr>
      </w:pPr>
    </w:p>
    <w:p w14:paraId="7ADD0FDD">
      <w:pPr>
        <w:pStyle w:val="3"/>
        <w:keepNext/>
        <w:keepLines/>
        <w:pageBreakBefore w:val="0"/>
        <w:widowControl w:val="0"/>
        <w:kinsoku/>
        <w:wordWrap/>
        <w:overflowPunct/>
        <w:topLinePunct w:val="0"/>
        <w:autoSpaceDE/>
        <w:autoSpaceDN/>
        <w:bidi w:val="0"/>
        <w:adjustRightInd/>
        <w:snapToGrid/>
        <w:spacing w:line="416" w:lineRule="auto"/>
        <w:ind w:firstLine="643" w:firstLineChars="200"/>
        <w:textAlignment w:val="auto"/>
      </w:pPr>
      <w:r>
        <w:rPr>
          <w:rFonts w:hint="eastAsia"/>
        </w:rPr>
        <w:t>二、教学实施过程</w:t>
      </w:r>
      <w:bookmarkEnd w:id="0"/>
    </w:p>
    <w:tbl>
      <w:tblPr>
        <w:tblStyle w:val="10"/>
        <w:tblW w:w="107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1"/>
        <w:gridCol w:w="2463"/>
        <w:gridCol w:w="2805"/>
        <w:gridCol w:w="3503"/>
      </w:tblGrid>
      <w:tr w14:paraId="75967D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vAlign w:val="top"/>
          </w:tcPr>
          <w:p w14:paraId="16173575">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（一）课前导学习</w:t>
            </w:r>
          </w:p>
        </w:tc>
      </w:tr>
      <w:tr w14:paraId="18E82E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shd w:val="clear" w:color="auto" w:fill="DEEBF6"/>
            <w:vAlign w:val="top"/>
          </w:tcPr>
          <w:p w14:paraId="7B8130D2">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教学内容</w:t>
            </w:r>
          </w:p>
        </w:tc>
        <w:tc>
          <w:tcPr>
            <w:tcW w:w="2463" w:type="dxa"/>
            <w:shd w:val="clear" w:color="auto" w:fill="DEEBF6"/>
            <w:vAlign w:val="top"/>
          </w:tcPr>
          <w:p w14:paraId="35B7D22C">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教师活动</w:t>
            </w:r>
          </w:p>
        </w:tc>
        <w:tc>
          <w:tcPr>
            <w:tcW w:w="2805" w:type="dxa"/>
            <w:shd w:val="clear" w:color="auto" w:fill="DEEBF6"/>
            <w:vAlign w:val="top"/>
          </w:tcPr>
          <w:p w14:paraId="0ABEA85D">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学生活动</w:t>
            </w:r>
          </w:p>
        </w:tc>
        <w:tc>
          <w:tcPr>
            <w:tcW w:w="3503" w:type="dxa"/>
            <w:shd w:val="clear" w:color="auto" w:fill="DEEBF6"/>
            <w:vAlign w:val="top"/>
          </w:tcPr>
          <w:p w14:paraId="252E1B55">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设计意图</w:t>
            </w:r>
          </w:p>
        </w:tc>
      </w:tr>
      <w:tr w14:paraId="27FD59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194F5357">
            <w:pPr>
              <w:spacing w:line="360" w:lineRule="auto"/>
              <w:rPr>
                <w:rFonts w:hint="eastAsia" w:ascii="仿宋" w:hAnsi="仿宋" w:eastAsia="仿宋" w:cs="仿宋"/>
                <w:sz w:val="24"/>
              </w:rPr>
            </w:pPr>
            <w:r>
              <w:rPr>
                <w:rFonts w:hint="eastAsia" w:ascii="仿宋" w:hAnsi="仿宋" w:eastAsia="仿宋" w:cs="仿宋"/>
                <w:sz w:val="24"/>
              </w:rPr>
              <w:t>1.癌症患者护理的护理伦理</w:t>
            </w:r>
          </w:p>
          <w:p w14:paraId="4499FE09">
            <w:pPr>
              <w:spacing w:line="360" w:lineRule="auto"/>
              <w:rPr>
                <w:rFonts w:hint="eastAsia" w:ascii="仿宋" w:hAnsi="仿宋" w:eastAsia="仿宋" w:cs="仿宋"/>
                <w:sz w:val="24"/>
              </w:rPr>
            </w:pPr>
          </w:p>
          <w:p w14:paraId="439D7DD8">
            <w:pPr>
              <w:spacing w:line="360" w:lineRule="auto"/>
              <w:rPr>
                <w:rFonts w:hint="eastAsia" w:ascii="仿宋" w:hAnsi="仿宋" w:eastAsia="仿宋" w:cs="仿宋"/>
                <w:sz w:val="24"/>
              </w:rPr>
            </w:pPr>
          </w:p>
          <w:p w14:paraId="67AF5CAE">
            <w:pPr>
              <w:spacing w:line="360" w:lineRule="auto"/>
              <w:rPr>
                <w:rFonts w:ascii="仿宋" w:hAnsi="仿宋" w:eastAsia="仿宋" w:cs="仿宋"/>
                <w:sz w:val="24"/>
              </w:rPr>
            </w:pPr>
            <w:r>
              <w:rPr>
                <w:rFonts w:hint="eastAsia" w:ascii="仿宋" w:hAnsi="仿宋" w:eastAsia="仿宋" w:cs="仿宋"/>
                <w:sz w:val="24"/>
              </w:rPr>
              <w:t>2.急诊、危重患者护理的护理伦理</w:t>
            </w:r>
          </w:p>
          <w:p w14:paraId="0D1AA309">
            <w:pPr>
              <w:spacing w:line="360" w:lineRule="auto"/>
              <w:rPr>
                <w:rFonts w:ascii="仿宋" w:hAnsi="仿宋" w:eastAsia="仿宋" w:cs="仿宋"/>
                <w:sz w:val="24"/>
              </w:rPr>
            </w:pPr>
          </w:p>
        </w:tc>
        <w:tc>
          <w:tcPr>
            <w:tcW w:w="2463" w:type="dxa"/>
            <w:vAlign w:val="top"/>
          </w:tcPr>
          <w:p w14:paraId="291B8256">
            <w:pPr>
              <w:numPr>
                <w:ilvl w:val="0"/>
                <w:numId w:val="1"/>
              </w:numPr>
              <w:spacing w:line="360" w:lineRule="auto"/>
              <w:rPr>
                <w:rFonts w:ascii="仿宋" w:hAnsi="仿宋" w:eastAsia="仿宋" w:cs="仿宋"/>
                <w:sz w:val="24"/>
              </w:rPr>
            </w:pPr>
            <w:r>
              <w:rPr>
                <w:rFonts w:hint="eastAsia" w:ascii="仿宋" w:hAnsi="仿宋" w:eastAsia="仿宋" w:cs="仿宋"/>
                <w:sz w:val="24"/>
              </w:rPr>
              <w:t>课前发布相关问卷，分析收集问卷内容，为新课讲授做准备。</w:t>
            </w:r>
          </w:p>
          <w:p w14:paraId="19ABDB7C">
            <w:pPr>
              <w:spacing w:line="360" w:lineRule="auto"/>
              <w:rPr>
                <w:rFonts w:ascii="仿宋" w:hAnsi="仿宋" w:eastAsia="仿宋" w:cs="仿宋"/>
                <w:sz w:val="24"/>
              </w:rPr>
            </w:pPr>
            <w:r>
              <w:rPr>
                <w:rFonts w:hint="eastAsia" w:ascii="仿宋" w:hAnsi="仿宋" w:eastAsia="仿宋" w:cs="仿宋"/>
                <w:sz w:val="24"/>
              </w:rPr>
              <w:t>2.职教云平台上传相关视频，请同学结合课本内容提前预习</w:t>
            </w:r>
          </w:p>
        </w:tc>
        <w:tc>
          <w:tcPr>
            <w:tcW w:w="2805" w:type="dxa"/>
            <w:vAlign w:val="top"/>
          </w:tcPr>
          <w:p w14:paraId="2E490B18">
            <w:pPr>
              <w:spacing w:line="360" w:lineRule="auto"/>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w:t>
            </w:r>
            <w:r>
              <w:rPr>
                <w:rFonts w:hint="eastAsia" w:ascii="仿宋" w:hAnsi="仿宋" w:eastAsia="仿宋" w:cs="仿宋"/>
                <w:sz w:val="24"/>
              </w:rPr>
              <w:t>填写问卷的相关内容</w:t>
            </w:r>
          </w:p>
          <w:p w14:paraId="52DD6FC5">
            <w:pPr>
              <w:spacing w:line="360" w:lineRule="auto"/>
              <w:rPr>
                <w:rFonts w:ascii="仿宋" w:hAnsi="仿宋" w:eastAsia="仿宋" w:cs="仿宋"/>
                <w:sz w:val="24"/>
              </w:rPr>
            </w:pPr>
            <w:r>
              <w:rPr>
                <w:rFonts w:hint="eastAsia" w:ascii="仿宋" w:hAnsi="仿宋" w:eastAsia="仿宋" w:cs="仿宋"/>
                <w:sz w:val="24"/>
              </w:rPr>
              <w:t xml:space="preserve">   </w:t>
            </w:r>
          </w:p>
          <w:p w14:paraId="3FCC3313">
            <w:pPr>
              <w:spacing w:line="360" w:lineRule="auto"/>
              <w:rPr>
                <w:rFonts w:hint="eastAsia" w:ascii="仿宋" w:hAnsi="仿宋" w:eastAsia="仿宋" w:cs="仿宋"/>
                <w:sz w:val="24"/>
              </w:rPr>
            </w:pPr>
          </w:p>
          <w:p w14:paraId="06F0F839">
            <w:pPr>
              <w:spacing w:line="360" w:lineRule="auto"/>
              <w:rPr>
                <w:rFonts w:hint="eastAsia" w:ascii="仿宋" w:hAnsi="仿宋" w:eastAsia="仿宋" w:cs="仿宋"/>
                <w:sz w:val="24"/>
              </w:rPr>
            </w:pPr>
          </w:p>
          <w:p w14:paraId="2EC9C325">
            <w:pPr>
              <w:spacing w:line="360" w:lineRule="auto"/>
              <w:rPr>
                <w:rFonts w:ascii="仿宋" w:hAnsi="仿宋" w:eastAsia="仿宋" w:cs="仿宋"/>
                <w:sz w:val="24"/>
              </w:rPr>
            </w:pPr>
            <w:r>
              <w:rPr>
                <w:rFonts w:hint="eastAsia" w:ascii="仿宋" w:hAnsi="仿宋" w:eastAsia="仿宋" w:cs="仿宋"/>
                <w:sz w:val="24"/>
              </w:rPr>
              <w:t xml:space="preserve">2.查阅职教云视频及课本，提前预习          </w:t>
            </w:r>
          </w:p>
        </w:tc>
        <w:tc>
          <w:tcPr>
            <w:tcW w:w="3503" w:type="dxa"/>
            <w:vAlign w:val="top"/>
          </w:tcPr>
          <w:p w14:paraId="455F7F52">
            <w:pPr>
              <w:spacing w:line="360" w:lineRule="auto"/>
              <w:rPr>
                <w:rFonts w:ascii="仿宋" w:hAnsi="仿宋" w:eastAsia="仿宋" w:cs="仿宋"/>
                <w:sz w:val="24"/>
              </w:rPr>
            </w:pPr>
            <w:r>
              <w:rPr>
                <w:rFonts w:hint="eastAsia" w:ascii="仿宋" w:hAnsi="仿宋" w:eastAsia="仿宋" w:cs="仿宋"/>
                <w:sz w:val="24"/>
              </w:rPr>
              <w:t>1.了解学生对上节课重点的把握及本次课的知识水平，为有效教学做准备。</w:t>
            </w:r>
          </w:p>
          <w:p w14:paraId="412F4FB9">
            <w:pPr>
              <w:spacing w:line="360" w:lineRule="auto"/>
              <w:rPr>
                <w:rFonts w:ascii="仿宋" w:hAnsi="仿宋" w:eastAsia="仿宋" w:cs="仿宋"/>
                <w:sz w:val="24"/>
              </w:rPr>
            </w:pPr>
          </w:p>
          <w:p w14:paraId="189AD63D">
            <w:pPr>
              <w:spacing w:line="360" w:lineRule="auto"/>
              <w:rPr>
                <w:rFonts w:ascii="仿宋" w:hAnsi="仿宋" w:eastAsia="仿宋" w:cs="仿宋"/>
                <w:sz w:val="24"/>
              </w:rPr>
            </w:pPr>
            <w:r>
              <w:rPr>
                <w:rFonts w:hint="eastAsia" w:ascii="仿宋" w:hAnsi="仿宋" w:eastAsia="仿宋" w:cs="仿宋"/>
                <w:sz w:val="24"/>
              </w:rPr>
              <w:t>2.该部分内容较多，提前预习，有助于课上内容的消化</w:t>
            </w:r>
          </w:p>
        </w:tc>
      </w:tr>
      <w:tr w14:paraId="2840EB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vAlign w:val="top"/>
          </w:tcPr>
          <w:p w14:paraId="310B5BF9">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（二）课中授新知</w:t>
            </w:r>
          </w:p>
        </w:tc>
      </w:tr>
      <w:tr w14:paraId="3E4DCC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shd w:val="clear" w:color="auto" w:fill="DEEAF6"/>
            <w:vAlign w:val="top"/>
          </w:tcPr>
          <w:p w14:paraId="2B7709B0">
            <w:pPr>
              <w:spacing w:line="360" w:lineRule="auto"/>
              <w:jc w:val="center"/>
              <w:rPr>
                <w:rFonts w:ascii="仿宋" w:hAnsi="仿宋" w:eastAsia="仿宋" w:cs="仿宋"/>
                <w:sz w:val="24"/>
              </w:rPr>
            </w:pPr>
            <w:r>
              <w:rPr>
                <w:rFonts w:hint="eastAsia" w:ascii="仿宋" w:hAnsi="仿宋" w:eastAsia="仿宋" w:cs="仿宋"/>
                <w:b/>
                <w:bCs/>
                <w:sz w:val="28"/>
                <w:szCs w:val="28"/>
              </w:rPr>
              <w:t>教学内容</w:t>
            </w:r>
          </w:p>
        </w:tc>
        <w:tc>
          <w:tcPr>
            <w:tcW w:w="2463" w:type="dxa"/>
            <w:shd w:val="clear" w:color="auto" w:fill="DEEAF6"/>
            <w:vAlign w:val="top"/>
          </w:tcPr>
          <w:p w14:paraId="20F51980">
            <w:pPr>
              <w:spacing w:line="360" w:lineRule="auto"/>
              <w:jc w:val="center"/>
              <w:rPr>
                <w:rFonts w:ascii="仿宋" w:hAnsi="仿宋" w:eastAsia="仿宋" w:cs="仿宋"/>
                <w:sz w:val="24"/>
              </w:rPr>
            </w:pPr>
            <w:r>
              <w:rPr>
                <w:rFonts w:hint="eastAsia" w:ascii="仿宋" w:hAnsi="仿宋" w:eastAsia="仿宋" w:cs="仿宋"/>
                <w:b/>
                <w:bCs/>
                <w:sz w:val="28"/>
                <w:szCs w:val="28"/>
              </w:rPr>
              <w:t>教师活动</w:t>
            </w:r>
          </w:p>
        </w:tc>
        <w:tc>
          <w:tcPr>
            <w:tcW w:w="2805" w:type="dxa"/>
            <w:shd w:val="clear" w:color="auto" w:fill="DEEAF6"/>
            <w:vAlign w:val="top"/>
          </w:tcPr>
          <w:p w14:paraId="29D1AE1B">
            <w:pPr>
              <w:spacing w:line="360" w:lineRule="auto"/>
              <w:jc w:val="center"/>
              <w:rPr>
                <w:rFonts w:ascii="仿宋" w:hAnsi="仿宋" w:eastAsia="仿宋" w:cs="仿宋"/>
                <w:sz w:val="24"/>
              </w:rPr>
            </w:pPr>
            <w:r>
              <w:rPr>
                <w:rFonts w:hint="eastAsia" w:ascii="仿宋" w:hAnsi="仿宋" w:eastAsia="仿宋" w:cs="仿宋"/>
                <w:b/>
                <w:bCs/>
                <w:sz w:val="28"/>
                <w:szCs w:val="28"/>
              </w:rPr>
              <w:t>学生活动</w:t>
            </w:r>
          </w:p>
        </w:tc>
        <w:tc>
          <w:tcPr>
            <w:tcW w:w="3503" w:type="dxa"/>
            <w:shd w:val="clear" w:color="auto" w:fill="DEEAF6"/>
            <w:vAlign w:val="top"/>
          </w:tcPr>
          <w:p w14:paraId="76399827">
            <w:pPr>
              <w:spacing w:line="360" w:lineRule="auto"/>
              <w:jc w:val="center"/>
              <w:rPr>
                <w:rFonts w:ascii="仿宋" w:hAnsi="仿宋" w:eastAsia="仿宋" w:cs="仿宋"/>
                <w:sz w:val="24"/>
              </w:rPr>
            </w:pPr>
            <w:r>
              <w:rPr>
                <w:rFonts w:hint="eastAsia" w:ascii="仿宋" w:hAnsi="仿宋" w:eastAsia="仿宋" w:cs="仿宋"/>
                <w:b/>
                <w:bCs/>
                <w:sz w:val="28"/>
                <w:szCs w:val="28"/>
              </w:rPr>
              <w:t>设计意图</w:t>
            </w:r>
          </w:p>
        </w:tc>
      </w:tr>
      <w:tr w14:paraId="5F609C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shd w:val="clear" w:color="auto" w:fill="auto"/>
            <w:vAlign w:val="top"/>
          </w:tcPr>
          <w:p w14:paraId="0FFB55CA">
            <w:pPr>
              <w:spacing w:line="360" w:lineRule="auto"/>
            </w:pPr>
            <w:r>
              <w:rPr>
                <w:rFonts w:hint="eastAsia" w:ascii="仿宋" w:hAnsi="仿宋" w:eastAsia="仿宋" w:cs="仿宋"/>
                <w:sz w:val="24"/>
              </w:rPr>
              <w:t>知识回顾</w:t>
            </w:r>
            <w:r>
              <w:rPr>
                <w:rFonts w:hint="eastAsia" w:ascii="仿宋" w:hAnsi="仿宋" w:eastAsia="仿宋" w:cs="仿宋"/>
                <w:sz w:val="24"/>
              </w:rPr>
              <w:drawing>
                <wp:inline distT="0" distB="0" distL="114300" distR="114300">
                  <wp:extent cx="1026160" cy="370205"/>
                  <wp:effectExtent l="0" t="0" r="2540" b="10795"/>
                  <wp:docPr id="28" name="图片 28" descr="d6ed6c07513dd135ffe06c42c34d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d6ed6c07513dd135ffe06c42c34d265"/>
                          <pic:cNvPicPr>
                            <a:picLocks noChangeAspect="1"/>
                          </pic:cNvPicPr>
                        </pic:nvPicPr>
                        <pic:blipFill>
                          <a:blip r:embed="rId14"/>
                          <a:stretch>
                            <a:fillRect/>
                          </a:stretch>
                        </pic:blipFill>
                        <pic:spPr>
                          <a:xfrm>
                            <a:off x="0" y="0"/>
                            <a:ext cx="1026160" cy="370205"/>
                          </a:xfrm>
                          <a:prstGeom prst="rect">
                            <a:avLst/>
                          </a:prstGeom>
                        </pic:spPr>
                      </pic:pic>
                    </a:graphicData>
                  </a:graphic>
                </wp:inline>
              </w:drawing>
            </w:r>
            <w:r>
              <w:rPr>
                <w:rFonts w:hint="eastAsia" w:ascii="仿宋" w:hAnsi="仿宋" w:eastAsia="仿宋" w:cs="仿宋"/>
                <w:sz w:val="24"/>
              </w:rPr>
              <w:t xml:space="preserve">                                                        </w:t>
            </w:r>
            <w:r>
              <w:rPr>
                <w:rFonts w:ascii="仿宋" w:hAnsi="仿宋" w:eastAsia="仿宋" w:cs="仿宋"/>
                <w:sz w:val="24"/>
              </w:rPr>
              <w:t xml:space="preserve">                  </w:t>
            </w:r>
          </w:p>
        </w:tc>
        <w:tc>
          <w:tcPr>
            <w:tcW w:w="2463" w:type="dxa"/>
            <w:shd w:val="clear" w:color="auto" w:fill="auto"/>
            <w:vAlign w:val="top"/>
          </w:tcPr>
          <w:p w14:paraId="65CF1EE5">
            <w:pPr>
              <w:spacing w:line="360" w:lineRule="auto"/>
              <w:jc w:val="left"/>
              <w:rPr>
                <w:rFonts w:ascii="仿宋" w:hAnsi="仿宋" w:eastAsia="仿宋" w:cs="仿宋"/>
                <w:sz w:val="24"/>
              </w:rPr>
            </w:pPr>
            <w:r>
              <w:rPr>
                <w:rFonts w:hint="eastAsia" w:ascii="仿宋" w:hAnsi="仿宋" w:eastAsia="仿宋" w:cs="仿宋"/>
                <w:sz w:val="24"/>
              </w:rPr>
              <w:t>1.思维导图呈现上节课知识框架</w:t>
            </w:r>
          </w:p>
          <w:p w14:paraId="6C32DC0A">
            <w:pPr>
              <w:spacing w:line="360" w:lineRule="auto"/>
              <w:jc w:val="left"/>
              <w:rPr>
                <w:rFonts w:ascii="仿宋" w:hAnsi="仿宋" w:eastAsia="仿宋" w:cs="仿宋"/>
                <w:sz w:val="24"/>
              </w:rPr>
            </w:pPr>
            <w:r>
              <w:rPr>
                <w:rFonts w:hint="eastAsia" w:ascii="仿宋" w:hAnsi="仿宋" w:eastAsia="仿宋" w:cs="仿宋"/>
                <w:sz w:val="24"/>
              </w:rPr>
              <w:t>2.回顾</w:t>
            </w:r>
            <w:r>
              <w:rPr>
                <w:rFonts w:hint="eastAsia" w:ascii="仿宋" w:hAnsi="仿宋" w:eastAsia="仿宋" w:cs="仿宋"/>
                <w:sz w:val="24"/>
                <w:lang w:val="en-US" w:eastAsia="zh-CN"/>
              </w:rPr>
              <w:t>上节课</w:t>
            </w:r>
            <w:r>
              <w:rPr>
                <w:rFonts w:hint="eastAsia" w:ascii="仿宋" w:hAnsi="仿宋" w:eastAsia="仿宋" w:cs="仿宋"/>
                <w:sz w:val="24"/>
              </w:rPr>
              <w:t>重要内容</w:t>
            </w:r>
          </w:p>
        </w:tc>
        <w:tc>
          <w:tcPr>
            <w:tcW w:w="2805" w:type="dxa"/>
            <w:shd w:val="clear" w:color="auto" w:fill="FFFFFF"/>
            <w:vAlign w:val="top"/>
          </w:tcPr>
          <w:p w14:paraId="040757D5">
            <w:pPr>
              <w:tabs>
                <w:tab w:val="left" w:pos="312"/>
              </w:tabs>
              <w:spacing w:line="360" w:lineRule="auto"/>
              <w:jc w:val="left"/>
              <w:rPr>
                <w:rFonts w:ascii="仿宋" w:hAnsi="仿宋" w:eastAsia="仿宋" w:cs="仿宋"/>
                <w:sz w:val="24"/>
              </w:rPr>
            </w:pPr>
            <w:r>
              <w:rPr>
                <w:rFonts w:hint="eastAsia" w:ascii="仿宋" w:hAnsi="仿宋" w:eastAsia="仿宋" w:cs="仿宋"/>
                <w:sz w:val="24"/>
              </w:rPr>
              <w:t>结合思维导图回顾相关内容</w:t>
            </w:r>
          </w:p>
          <w:p w14:paraId="1404B4C0">
            <w:pPr>
              <w:spacing w:line="360" w:lineRule="auto"/>
              <w:jc w:val="left"/>
              <w:rPr>
                <w:rFonts w:ascii="仿宋" w:hAnsi="仿宋" w:eastAsia="仿宋" w:cs="仿宋"/>
                <w:sz w:val="24"/>
              </w:rPr>
            </w:pPr>
          </w:p>
        </w:tc>
        <w:tc>
          <w:tcPr>
            <w:tcW w:w="3503" w:type="dxa"/>
            <w:vAlign w:val="top"/>
          </w:tcPr>
          <w:p w14:paraId="394D5E30">
            <w:pPr>
              <w:spacing w:line="360" w:lineRule="auto"/>
              <w:rPr>
                <w:rFonts w:ascii="仿宋" w:hAnsi="仿宋" w:eastAsia="仿宋" w:cs="仿宋"/>
                <w:b/>
                <w:bCs/>
                <w:sz w:val="28"/>
                <w:szCs w:val="28"/>
              </w:rPr>
            </w:pPr>
            <w:r>
              <w:rPr>
                <w:rFonts w:hint="eastAsia" w:ascii="仿宋" w:hAnsi="仿宋" w:eastAsia="仿宋" w:cs="仿宋"/>
                <w:sz w:val="24"/>
              </w:rPr>
              <w:t>思维导图脉络清晰，温故知新，为学习新知识做准备</w:t>
            </w:r>
          </w:p>
        </w:tc>
      </w:tr>
      <w:tr w14:paraId="15F65D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3DF35A15">
            <w:pPr>
              <w:spacing w:line="360" w:lineRule="auto"/>
              <w:jc w:val="left"/>
              <w:rPr>
                <w:rFonts w:ascii="仿宋" w:hAnsi="仿宋" w:eastAsia="仿宋" w:cs="仿宋"/>
                <w:sz w:val="24"/>
              </w:rPr>
            </w:pPr>
            <w:r>
              <w:rPr>
                <w:rFonts w:hint="eastAsia" w:ascii="仿宋" w:hAnsi="仿宋" w:eastAsia="仿宋" w:cs="仿宋"/>
                <w:sz w:val="24"/>
              </w:rPr>
              <w:t>课前调研结果分析</w:t>
            </w:r>
          </w:p>
          <w:p w14:paraId="3A719812">
            <w:pPr>
              <w:spacing w:line="360" w:lineRule="auto"/>
              <w:jc w:val="left"/>
              <w:rPr>
                <w:rFonts w:ascii="仿宋" w:hAnsi="仿宋" w:eastAsia="仿宋" w:cs="仿宋"/>
                <w:sz w:val="24"/>
              </w:rPr>
            </w:pPr>
          </w:p>
          <w:p w14:paraId="74F0DFD6">
            <w:pPr>
              <w:spacing w:line="360" w:lineRule="auto"/>
              <w:jc w:val="left"/>
              <w:rPr>
                <w:rFonts w:ascii="仿宋" w:hAnsi="仿宋" w:eastAsia="仿宋" w:cs="仿宋"/>
                <w:sz w:val="24"/>
              </w:rPr>
            </w:pPr>
          </w:p>
          <w:p w14:paraId="0BCCFB79">
            <w:pPr>
              <w:spacing w:line="360" w:lineRule="auto"/>
              <w:jc w:val="left"/>
              <w:rPr>
                <w:rFonts w:ascii="仿宋" w:hAnsi="仿宋" w:eastAsia="仿宋" w:cs="仿宋"/>
                <w:sz w:val="24"/>
              </w:rPr>
            </w:pPr>
          </w:p>
        </w:tc>
        <w:tc>
          <w:tcPr>
            <w:tcW w:w="2463" w:type="dxa"/>
            <w:vAlign w:val="top"/>
          </w:tcPr>
          <w:p w14:paraId="44547C95">
            <w:pPr>
              <w:spacing w:line="360" w:lineRule="auto"/>
              <w:jc w:val="left"/>
              <w:rPr>
                <w:rFonts w:ascii="仿宋" w:hAnsi="仿宋" w:eastAsia="仿宋" w:cs="仿宋"/>
                <w:sz w:val="24"/>
              </w:rPr>
            </w:pPr>
            <w:r>
              <w:rPr>
                <w:rFonts w:hint="eastAsia" w:ascii="仿宋" w:hAnsi="仿宋" w:eastAsia="仿宋" w:cs="仿宋"/>
                <w:sz w:val="24"/>
              </w:rPr>
              <w:t>1.呈现问卷调研结果</w:t>
            </w:r>
          </w:p>
          <w:p w14:paraId="7A5C724C">
            <w:pPr>
              <w:spacing w:line="360" w:lineRule="auto"/>
              <w:jc w:val="left"/>
              <w:rPr>
                <w:rFonts w:ascii="仿宋" w:hAnsi="仿宋" w:eastAsia="仿宋" w:cs="仿宋"/>
                <w:sz w:val="24"/>
              </w:rPr>
            </w:pPr>
          </w:p>
          <w:p w14:paraId="3D199058">
            <w:pPr>
              <w:spacing w:line="360" w:lineRule="auto"/>
              <w:jc w:val="left"/>
              <w:rPr>
                <w:rFonts w:ascii="仿宋" w:hAnsi="仿宋" w:eastAsia="仿宋" w:cs="仿宋"/>
                <w:sz w:val="24"/>
              </w:rPr>
            </w:pPr>
          </w:p>
          <w:p w14:paraId="14C20DBE">
            <w:pPr>
              <w:spacing w:line="360" w:lineRule="auto"/>
              <w:rPr>
                <w:rFonts w:ascii="仿宋" w:hAnsi="仿宋" w:eastAsia="仿宋" w:cs="仿宋"/>
                <w:sz w:val="24"/>
              </w:rPr>
            </w:pPr>
            <w:r>
              <w:rPr>
                <w:rFonts w:hint="eastAsia" w:ascii="仿宋" w:hAnsi="仿宋" w:eastAsia="仿宋" w:cs="仿宋"/>
                <w:sz w:val="24"/>
              </w:rPr>
              <w:t>2.总结问卷中存在的问题</w:t>
            </w:r>
          </w:p>
        </w:tc>
        <w:tc>
          <w:tcPr>
            <w:tcW w:w="2805" w:type="dxa"/>
            <w:vAlign w:val="top"/>
          </w:tcPr>
          <w:p w14:paraId="58EDC0AF">
            <w:pPr>
              <w:spacing w:line="360" w:lineRule="auto"/>
              <w:jc w:val="left"/>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w:t>
            </w:r>
            <w:r>
              <w:rPr>
                <w:rFonts w:hint="eastAsia" w:ascii="仿宋" w:hAnsi="仿宋" w:eastAsia="仿宋" w:cs="仿宋"/>
                <w:sz w:val="24"/>
              </w:rPr>
              <w:t>观看问卷调研结果</w:t>
            </w:r>
          </w:p>
          <w:p w14:paraId="0E082DE1">
            <w:pPr>
              <w:spacing w:line="360" w:lineRule="auto"/>
              <w:jc w:val="left"/>
              <w:rPr>
                <w:rFonts w:ascii="仿宋" w:hAnsi="仿宋" w:eastAsia="仿宋" w:cs="仿宋"/>
                <w:sz w:val="24"/>
              </w:rPr>
            </w:pPr>
          </w:p>
          <w:p w14:paraId="381C5699">
            <w:pPr>
              <w:spacing w:line="360" w:lineRule="auto"/>
              <w:jc w:val="left"/>
              <w:rPr>
                <w:rFonts w:ascii="仿宋" w:hAnsi="仿宋" w:eastAsia="仿宋" w:cs="仿宋"/>
                <w:sz w:val="24"/>
              </w:rPr>
            </w:pPr>
          </w:p>
          <w:p w14:paraId="73B71F8C">
            <w:pPr>
              <w:spacing w:line="360" w:lineRule="auto"/>
              <w:jc w:val="left"/>
              <w:rPr>
                <w:rFonts w:ascii="仿宋" w:hAnsi="仿宋" w:eastAsia="仿宋" w:cs="仿宋"/>
                <w:sz w:val="24"/>
              </w:rPr>
            </w:pPr>
            <w:r>
              <w:rPr>
                <w:rFonts w:hint="eastAsia" w:ascii="仿宋" w:hAnsi="仿宋" w:eastAsia="仿宋" w:cs="仿宋"/>
                <w:sz w:val="24"/>
              </w:rPr>
              <w:t>2.呈现问卷及调查结果所暴露的问题</w:t>
            </w:r>
          </w:p>
        </w:tc>
        <w:tc>
          <w:tcPr>
            <w:tcW w:w="3503" w:type="dxa"/>
            <w:vAlign w:val="top"/>
          </w:tcPr>
          <w:p w14:paraId="0A752FAA">
            <w:pPr>
              <w:spacing w:line="360" w:lineRule="auto"/>
              <w:rPr>
                <w:rFonts w:ascii="仿宋" w:hAnsi="仿宋" w:eastAsia="仿宋" w:cs="仿宋"/>
                <w:b/>
                <w:bCs/>
                <w:color w:val="FF0000"/>
                <w:sz w:val="24"/>
              </w:rPr>
            </w:pPr>
            <w:r>
              <w:rPr>
                <w:rFonts w:hint="eastAsia" w:ascii="仿宋" w:hAnsi="仿宋" w:eastAsia="仿宋" w:cs="仿宋"/>
                <w:sz w:val="24"/>
              </w:rPr>
              <w:t>通过问卷的调查结果，使老师更好的了解学生对上次课内容的掌握情况、学习兴趣及对新知识的不足。调研结果的呈现使学生更充分的认识自己，引起学生的重视，激发学生学习兴趣，同时为后面内容做好了铺垫。</w:t>
            </w:r>
            <w:r>
              <w:rPr>
                <w:rFonts w:hint="eastAsia" w:ascii="仿宋" w:hAnsi="仿宋" w:eastAsia="仿宋" w:cs="仿宋"/>
                <w:b/>
                <w:bCs/>
                <w:color w:val="FF0000"/>
                <w:sz w:val="24"/>
              </w:rPr>
              <w:t>通过暴露出来的问题启发学习应有认真严谨的工作态度，努力培养伦理道德思想和理念。</w:t>
            </w:r>
          </w:p>
        </w:tc>
      </w:tr>
      <w:tr w14:paraId="312190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717864E6">
            <w:pPr>
              <w:spacing w:line="360" w:lineRule="auto"/>
              <w:jc w:val="left"/>
              <w:rPr>
                <w:rFonts w:ascii="仿宋" w:hAnsi="仿宋" w:eastAsia="仿宋" w:cs="仿宋"/>
                <w:sz w:val="24"/>
              </w:rPr>
            </w:pPr>
            <w:r>
              <w:rPr>
                <w:rFonts w:hint="eastAsia" w:ascii="仿宋" w:hAnsi="仿宋" w:eastAsia="仿宋" w:cs="仿宋"/>
                <w:sz w:val="24"/>
              </w:rPr>
              <w:t xml:space="preserve">教学目标及重难点                </w:t>
            </w:r>
            <w:r>
              <w:rPr>
                <w:rFonts w:ascii="仿宋" w:hAnsi="仿宋" w:eastAsia="仿宋" w:cs="仿宋"/>
                <w:sz w:val="24"/>
              </w:rPr>
              <w:t xml:space="preserve">  </w:t>
            </w:r>
          </w:p>
          <w:p w14:paraId="27B65F17">
            <w:pPr>
              <w:spacing w:line="360" w:lineRule="auto"/>
              <w:jc w:val="left"/>
              <w:rPr>
                <w:rFonts w:ascii="仿宋" w:hAnsi="仿宋" w:eastAsia="仿宋" w:cs="仿宋"/>
                <w:sz w:val="24"/>
              </w:rPr>
            </w:pPr>
          </w:p>
        </w:tc>
        <w:tc>
          <w:tcPr>
            <w:tcW w:w="2463" w:type="dxa"/>
            <w:vAlign w:val="top"/>
          </w:tcPr>
          <w:p w14:paraId="270FFBBC">
            <w:pPr>
              <w:spacing w:line="360" w:lineRule="auto"/>
              <w:rPr>
                <w:rFonts w:ascii="仿宋" w:hAnsi="仿宋" w:eastAsia="仿宋" w:cs="仿宋"/>
                <w:sz w:val="24"/>
              </w:rPr>
            </w:pPr>
            <w:r>
              <w:rPr>
                <w:rFonts w:ascii="仿宋" w:hAnsi="仿宋" w:eastAsia="仿宋" w:cs="仿宋"/>
                <w:sz w:val="24"/>
              </w:rPr>
              <w:t>1.</w:t>
            </w:r>
            <w:r>
              <w:rPr>
                <w:rFonts w:hint="eastAsia" w:ascii="仿宋" w:hAnsi="仿宋" w:eastAsia="仿宋" w:cs="仿宋"/>
                <w:sz w:val="24"/>
              </w:rPr>
              <w:t>结合问卷暴露的问题展示本节课的教学目标及重点和难点</w:t>
            </w:r>
          </w:p>
        </w:tc>
        <w:tc>
          <w:tcPr>
            <w:tcW w:w="2805" w:type="dxa"/>
            <w:vAlign w:val="top"/>
          </w:tcPr>
          <w:p w14:paraId="21004415">
            <w:pPr>
              <w:spacing w:line="360" w:lineRule="auto"/>
              <w:jc w:val="left"/>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w:t>
            </w:r>
            <w:r>
              <w:rPr>
                <w:rFonts w:hint="eastAsia" w:ascii="仿宋" w:hAnsi="仿宋" w:eastAsia="仿宋" w:cs="仿宋"/>
                <w:sz w:val="24"/>
              </w:rPr>
              <w:t>聆听、思考</w:t>
            </w:r>
          </w:p>
        </w:tc>
        <w:tc>
          <w:tcPr>
            <w:tcW w:w="3503" w:type="dxa"/>
            <w:vAlign w:val="top"/>
          </w:tcPr>
          <w:p w14:paraId="2A6DD399">
            <w:pPr>
              <w:spacing w:line="360" w:lineRule="auto"/>
              <w:rPr>
                <w:rFonts w:ascii="仿宋" w:hAnsi="仿宋" w:eastAsia="仿宋" w:cs="仿宋"/>
                <w:sz w:val="24"/>
              </w:rPr>
            </w:pPr>
            <w:r>
              <w:rPr>
                <w:rFonts w:hint="eastAsia" w:ascii="仿宋" w:hAnsi="仿宋" w:eastAsia="仿宋" w:cs="仿宋"/>
                <w:sz w:val="24"/>
              </w:rPr>
              <w:t>由问题导出目标和重点难点，引起学生的学习兴趣，更好的解决重点和难点。</w:t>
            </w:r>
          </w:p>
        </w:tc>
      </w:tr>
      <w:tr w14:paraId="3CE569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2833133E">
            <w:pPr>
              <w:spacing w:line="360" w:lineRule="auto"/>
              <w:jc w:val="left"/>
              <w:rPr>
                <w:rFonts w:ascii="仿宋" w:hAnsi="仿宋" w:eastAsia="仿宋" w:cs="仿宋"/>
                <w:sz w:val="24"/>
              </w:rPr>
            </w:pPr>
            <w:r>
              <w:rPr>
                <w:rFonts w:hint="eastAsia" w:ascii="仿宋" w:hAnsi="仿宋" w:eastAsia="仿宋" w:cs="仿宋"/>
                <w:sz w:val="24"/>
              </w:rPr>
              <w:t>癌症患者的护理伦理</w:t>
            </w:r>
          </w:p>
          <w:p w14:paraId="13705826">
            <w:pPr>
              <w:spacing w:line="360" w:lineRule="auto"/>
              <w:jc w:val="left"/>
              <w:rPr>
                <w:rFonts w:ascii="仿宋" w:hAnsi="仿宋" w:eastAsia="仿宋" w:cs="仿宋"/>
                <w:sz w:val="24"/>
              </w:rPr>
            </w:pPr>
          </w:p>
        </w:tc>
        <w:tc>
          <w:tcPr>
            <w:tcW w:w="2463" w:type="dxa"/>
            <w:vAlign w:val="top"/>
          </w:tcPr>
          <w:p w14:paraId="508EFBF5">
            <w:pPr>
              <w:spacing w:line="360" w:lineRule="auto"/>
              <w:rPr>
                <w:rFonts w:ascii="仿宋" w:hAnsi="仿宋" w:eastAsia="仿宋" w:cs="仿宋"/>
                <w:sz w:val="24"/>
              </w:rPr>
            </w:pPr>
            <w:r>
              <w:rPr>
                <w:rFonts w:hint="eastAsia" w:ascii="仿宋" w:hAnsi="仿宋" w:eastAsia="仿宋" w:cs="仿宋"/>
                <w:sz w:val="24"/>
              </w:rPr>
              <w:t>1.讲解癌症患者的护理特点</w:t>
            </w:r>
          </w:p>
          <w:p w14:paraId="09D17F5C">
            <w:pPr>
              <w:spacing w:line="360" w:lineRule="auto"/>
              <w:rPr>
                <w:rFonts w:ascii="仿宋" w:hAnsi="仿宋" w:eastAsia="仿宋" w:cs="仿宋"/>
                <w:sz w:val="24"/>
              </w:rPr>
            </w:pPr>
          </w:p>
          <w:p w14:paraId="72BFEB9E">
            <w:pPr>
              <w:spacing w:line="360" w:lineRule="auto"/>
              <w:rPr>
                <w:rFonts w:ascii="仿宋" w:hAnsi="仿宋" w:eastAsia="仿宋" w:cs="仿宋"/>
                <w:sz w:val="24"/>
              </w:rPr>
            </w:pPr>
          </w:p>
          <w:p w14:paraId="167D8146">
            <w:pPr>
              <w:spacing w:line="360" w:lineRule="auto"/>
              <w:rPr>
                <w:rFonts w:ascii="仿宋" w:hAnsi="仿宋" w:eastAsia="仿宋" w:cs="仿宋"/>
                <w:sz w:val="24"/>
              </w:rPr>
            </w:pPr>
            <w:r>
              <w:rPr>
                <w:rFonts w:hint="eastAsia" w:ascii="仿宋" w:hAnsi="仿宋" w:eastAsia="仿宋" w:cs="仿宋"/>
                <w:sz w:val="24"/>
              </w:rPr>
              <w:t>2.提供学生癌症护理工作的案例，让学生分析老年患者护理的伦理规范有哪些</w:t>
            </w:r>
          </w:p>
          <w:p w14:paraId="5C67AE8D">
            <w:pPr>
              <w:spacing w:line="360" w:lineRule="auto"/>
              <w:rPr>
                <w:rFonts w:ascii="仿宋" w:hAnsi="仿宋" w:eastAsia="仿宋" w:cs="仿宋"/>
                <w:sz w:val="24"/>
              </w:rPr>
            </w:pPr>
          </w:p>
          <w:p w14:paraId="29156129">
            <w:pPr>
              <w:spacing w:line="360" w:lineRule="auto"/>
              <w:rPr>
                <w:rFonts w:ascii="仿宋" w:hAnsi="仿宋" w:eastAsia="仿宋" w:cs="仿宋"/>
                <w:sz w:val="24"/>
              </w:rPr>
            </w:pPr>
            <w:r>
              <w:rPr>
                <w:rFonts w:hint="eastAsia" w:ascii="仿宋" w:hAnsi="仿宋" w:eastAsia="仿宋" w:cs="仿宋"/>
                <w:sz w:val="24"/>
              </w:rPr>
              <w:t>3.结合学生分析结果及案例归纳讲解癌症患者护理的伦理规范</w:t>
            </w:r>
          </w:p>
        </w:tc>
        <w:tc>
          <w:tcPr>
            <w:tcW w:w="2805" w:type="dxa"/>
            <w:vAlign w:val="top"/>
          </w:tcPr>
          <w:p w14:paraId="0E563BAC">
            <w:pPr>
              <w:spacing w:line="360" w:lineRule="auto"/>
              <w:jc w:val="left"/>
              <w:rPr>
                <w:rFonts w:ascii="仿宋" w:hAnsi="仿宋" w:eastAsia="仿宋" w:cs="仿宋"/>
                <w:sz w:val="24"/>
              </w:rPr>
            </w:pPr>
            <w:r>
              <w:rPr>
                <w:rFonts w:hint="eastAsia" w:ascii="仿宋" w:hAnsi="仿宋" w:eastAsia="仿宋" w:cs="仿宋"/>
                <w:sz w:val="24"/>
              </w:rPr>
              <w:t>1.聆听、思考</w:t>
            </w:r>
          </w:p>
          <w:p w14:paraId="3609AF84">
            <w:pPr>
              <w:spacing w:line="360" w:lineRule="auto"/>
              <w:jc w:val="left"/>
              <w:rPr>
                <w:rFonts w:ascii="仿宋" w:hAnsi="仿宋" w:eastAsia="仿宋" w:cs="仿宋"/>
                <w:sz w:val="24"/>
              </w:rPr>
            </w:pPr>
          </w:p>
          <w:p w14:paraId="70965EDC">
            <w:pPr>
              <w:spacing w:line="360" w:lineRule="auto"/>
              <w:jc w:val="left"/>
              <w:rPr>
                <w:rFonts w:ascii="仿宋" w:hAnsi="仿宋" w:eastAsia="仿宋" w:cs="仿宋"/>
                <w:sz w:val="24"/>
              </w:rPr>
            </w:pPr>
          </w:p>
          <w:p w14:paraId="75A7CDE5">
            <w:pPr>
              <w:spacing w:line="360" w:lineRule="auto"/>
              <w:jc w:val="left"/>
              <w:rPr>
                <w:rFonts w:ascii="仿宋" w:hAnsi="仿宋" w:eastAsia="仿宋" w:cs="仿宋"/>
                <w:sz w:val="24"/>
              </w:rPr>
            </w:pPr>
          </w:p>
          <w:p w14:paraId="7F6BABCF">
            <w:pPr>
              <w:spacing w:line="360" w:lineRule="auto"/>
              <w:jc w:val="left"/>
              <w:rPr>
                <w:rFonts w:ascii="仿宋" w:hAnsi="仿宋" w:eastAsia="仿宋" w:cs="仿宋"/>
                <w:sz w:val="24"/>
              </w:rPr>
            </w:pPr>
            <w:r>
              <w:rPr>
                <w:rFonts w:hint="eastAsia" w:ascii="仿宋" w:hAnsi="仿宋" w:eastAsia="仿宋" w:cs="仿宋"/>
                <w:sz w:val="24"/>
              </w:rPr>
              <w:t>2.案例分析、小组讨论</w:t>
            </w:r>
          </w:p>
          <w:p w14:paraId="2A7D9E8C">
            <w:pPr>
              <w:spacing w:line="360" w:lineRule="auto"/>
              <w:jc w:val="left"/>
              <w:rPr>
                <w:rFonts w:ascii="仿宋" w:hAnsi="仿宋" w:eastAsia="仿宋" w:cs="仿宋"/>
                <w:sz w:val="24"/>
              </w:rPr>
            </w:pPr>
          </w:p>
          <w:p w14:paraId="0212D08F">
            <w:pPr>
              <w:spacing w:line="360" w:lineRule="auto"/>
              <w:jc w:val="left"/>
              <w:rPr>
                <w:rFonts w:ascii="仿宋" w:hAnsi="仿宋" w:eastAsia="仿宋" w:cs="仿宋"/>
                <w:sz w:val="24"/>
              </w:rPr>
            </w:pPr>
          </w:p>
          <w:p w14:paraId="6182D681">
            <w:pPr>
              <w:spacing w:line="360" w:lineRule="auto"/>
              <w:jc w:val="left"/>
              <w:rPr>
                <w:rFonts w:ascii="仿宋" w:hAnsi="仿宋" w:eastAsia="仿宋" w:cs="仿宋"/>
                <w:sz w:val="24"/>
              </w:rPr>
            </w:pPr>
          </w:p>
          <w:p w14:paraId="38DCD16C">
            <w:pPr>
              <w:spacing w:line="360" w:lineRule="auto"/>
              <w:jc w:val="left"/>
              <w:rPr>
                <w:rFonts w:ascii="仿宋" w:hAnsi="仿宋" w:eastAsia="仿宋" w:cs="仿宋"/>
                <w:sz w:val="24"/>
              </w:rPr>
            </w:pPr>
          </w:p>
          <w:p w14:paraId="30825F00">
            <w:pPr>
              <w:spacing w:line="360" w:lineRule="auto"/>
              <w:jc w:val="left"/>
              <w:rPr>
                <w:rFonts w:ascii="仿宋" w:hAnsi="仿宋" w:eastAsia="仿宋" w:cs="仿宋"/>
                <w:sz w:val="24"/>
              </w:rPr>
            </w:pPr>
            <w:r>
              <w:rPr>
                <w:rFonts w:hint="eastAsia" w:ascii="仿宋" w:hAnsi="仿宋" w:eastAsia="仿宋" w:cs="仿宋"/>
                <w:sz w:val="24"/>
              </w:rPr>
              <w:t>3.思考、启发回答、知识内化</w:t>
            </w:r>
          </w:p>
        </w:tc>
        <w:tc>
          <w:tcPr>
            <w:tcW w:w="3503" w:type="dxa"/>
            <w:vAlign w:val="top"/>
          </w:tcPr>
          <w:p w14:paraId="41413831">
            <w:pPr>
              <w:spacing w:line="360" w:lineRule="auto"/>
              <w:rPr>
                <w:rFonts w:ascii="仿宋" w:hAnsi="仿宋" w:eastAsia="仿宋" w:cs="仿宋"/>
                <w:sz w:val="24"/>
              </w:rPr>
            </w:pPr>
            <w:r>
              <w:rPr>
                <w:rFonts w:hint="eastAsia" w:ascii="仿宋" w:hAnsi="仿宋" w:eastAsia="仿宋" w:cs="仿宋"/>
                <w:sz w:val="24"/>
              </w:rPr>
              <w:t>按照</w:t>
            </w:r>
            <w:r>
              <w:rPr>
                <w:rFonts w:hint="eastAsia" w:ascii="仿宋" w:hAnsi="仿宋" w:eastAsia="仿宋" w:cs="仿宋"/>
                <w:b/>
                <w:bCs/>
                <w:color w:val="FF0000"/>
                <w:sz w:val="24"/>
              </w:rPr>
              <w:t>“特点”-“伦理规范”</w:t>
            </w:r>
            <w:r>
              <w:rPr>
                <w:rFonts w:hint="eastAsia" w:ascii="仿宋" w:hAnsi="仿宋" w:eastAsia="仿宋" w:cs="仿宋"/>
                <w:sz w:val="24"/>
              </w:rPr>
              <w:t>的思路讲授癌症护理工作中的护理伦理内容，条例清楚，易于学生理解。</w:t>
            </w:r>
          </w:p>
          <w:p w14:paraId="30FB524D">
            <w:pPr>
              <w:spacing w:line="360" w:lineRule="auto"/>
              <w:rPr>
                <w:rFonts w:ascii="仿宋" w:hAnsi="仿宋" w:eastAsia="仿宋" w:cs="仿宋"/>
                <w:sz w:val="24"/>
              </w:rPr>
            </w:pPr>
            <w:r>
              <w:rPr>
                <w:rFonts w:hint="eastAsia" w:ascii="仿宋" w:hAnsi="仿宋" w:eastAsia="仿宋" w:cs="仿宋"/>
                <w:sz w:val="24"/>
              </w:rPr>
              <w:t>案例分析、小组讨论，学生积极参与，培养学生</w:t>
            </w:r>
            <w:r>
              <w:rPr>
                <w:rFonts w:hint="eastAsia" w:ascii="仿宋" w:hAnsi="仿宋" w:eastAsia="仿宋" w:cs="仿宋"/>
                <w:b/>
                <w:bCs/>
                <w:color w:val="FF0000"/>
                <w:sz w:val="24"/>
              </w:rPr>
              <w:t>思考问题、解决问题、团结协作的能力。</w:t>
            </w:r>
          </w:p>
          <w:p w14:paraId="30787A22">
            <w:pPr>
              <w:spacing w:line="360" w:lineRule="auto"/>
              <w:rPr>
                <w:rFonts w:ascii="仿宋" w:hAnsi="仿宋" w:eastAsia="仿宋" w:cs="仿宋"/>
                <w:sz w:val="24"/>
              </w:rPr>
            </w:pPr>
            <w:r>
              <w:rPr>
                <w:rFonts w:hint="eastAsia" w:ascii="仿宋" w:hAnsi="仿宋" w:eastAsia="仿宋" w:cs="仿宋"/>
                <w:sz w:val="24"/>
              </w:rPr>
              <w:t>结合学生案例分析结果、教师归纳讲解使知识体系更完整，也易于学生理解和掌握。通过癌症护理工作中的护理伦理</w:t>
            </w:r>
            <w:r>
              <w:rPr>
                <w:rFonts w:hint="eastAsia" w:ascii="仿宋" w:hAnsi="仿宋" w:eastAsia="仿宋" w:cs="仿宋"/>
                <w:b/>
                <w:bCs/>
                <w:color w:val="FF0000"/>
                <w:sz w:val="24"/>
              </w:rPr>
              <w:t>启发学生文明礼貌、无私奉献、勤学苦练、服务社会。</w:t>
            </w:r>
          </w:p>
        </w:tc>
      </w:tr>
      <w:tr w14:paraId="52264F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27F01B7B">
            <w:pPr>
              <w:spacing w:line="360" w:lineRule="auto"/>
              <w:jc w:val="left"/>
              <w:rPr>
                <w:rFonts w:ascii="仿宋" w:hAnsi="仿宋" w:eastAsia="仿宋" w:cs="仿宋"/>
                <w:sz w:val="24"/>
              </w:rPr>
            </w:pPr>
            <w:r>
              <w:rPr>
                <w:rFonts w:hint="eastAsia" w:ascii="仿宋" w:hAnsi="仿宋" w:eastAsia="仿宋" w:cs="仿宋"/>
                <w:sz w:val="24"/>
              </w:rPr>
              <w:t>急诊、危重患者的护理伦理</w:t>
            </w:r>
          </w:p>
          <w:p w14:paraId="10F42448">
            <w:pPr>
              <w:spacing w:line="360" w:lineRule="auto"/>
              <w:jc w:val="left"/>
              <w:rPr>
                <w:rFonts w:ascii="仿宋" w:hAnsi="仿宋" w:eastAsia="仿宋" w:cs="仿宋"/>
                <w:sz w:val="24"/>
              </w:rPr>
            </w:pPr>
          </w:p>
        </w:tc>
        <w:tc>
          <w:tcPr>
            <w:tcW w:w="2463" w:type="dxa"/>
            <w:vAlign w:val="top"/>
          </w:tcPr>
          <w:p w14:paraId="59E6FF75">
            <w:pPr>
              <w:spacing w:line="360" w:lineRule="auto"/>
              <w:rPr>
                <w:rFonts w:ascii="仿宋" w:hAnsi="仿宋" w:eastAsia="仿宋" w:cs="仿宋"/>
                <w:sz w:val="24"/>
              </w:rPr>
            </w:pPr>
            <w:r>
              <w:rPr>
                <w:rFonts w:hint="eastAsia" w:ascii="仿宋" w:hAnsi="仿宋" w:eastAsia="仿宋" w:cs="仿宋"/>
                <w:sz w:val="24"/>
              </w:rPr>
              <w:t>1.讲解急诊、危重患者的护理特点</w:t>
            </w:r>
          </w:p>
          <w:p w14:paraId="7768BD5D">
            <w:pPr>
              <w:spacing w:line="360" w:lineRule="auto"/>
              <w:rPr>
                <w:rFonts w:ascii="仿宋" w:hAnsi="仿宋" w:eastAsia="仿宋" w:cs="仿宋"/>
                <w:sz w:val="24"/>
              </w:rPr>
            </w:pPr>
          </w:p>
          <w:p w14:paraId="14CA7615">
            <w:pPr>
              <w:spacing w:line="360" w:lineRule="auto"/>
              <w:rPr>
                <w:rFonts w:ascii="仿宋" w:hAnsi="仿宋" w:eastAsia="仿宋" w:cs="仿宋"/>
                <w:sz w:val="24"/>
              </w:rPr>
            </w:pPr>
          </w:p>
          <w:p w14:paraId="2EA69690">
            <w:pPr>
              <w:spacing w:line="360" w:lineRule="auto"/>
              <w:rPr>
                <w:rFonts w:ascii="仿宋" w:hAnsi="仿宋" w:eastAsia="仿宋" w:cs="仿宋"/>
                <w:sz w:val="24"/>
              </w:rPr>
            </w:pPr>
            <w:r>
              <w:rPr>
                <w:rFonts w:hint="eastAsia" w:ascii="仿宋" w:hAnsi="仿宋" w:eastAsia="仿宋" w:cs="仿宋"/>
                <w:sz w:val="24"/>
              </w:rPr>
              <w:t>2.提供学生急诊、危重患者护理工作的案例，让学生分析急诊危重患者护理的伦理规范有哪些</w:t>
            </w:r>
          </w:p>
          <w:p w14:paraId="64044A36">
            <w:pPr>
              <w:spacing w:line="360" w:lineRule="auto"/>
              <w:rPr>
                <w:rFonts w:ascii="仿宋" w:hAnsi="仿宋" w:eastAsia="仿宋" w:cs="仿宋"/>
                <w:sz w:val="24"/>
              </w:rPr>
            </w:pPr>
            <w:r>
              <w:rPr>
                <w:rFonts w:hint="eastAsia" w:ascii="仿宋" w:hAnsi="仿宋" w:eastAsia="仿宋" w:cs="仿宋"/>
                <w:sz w:val="24"/>
              </w:rPr>
              <w:t>3.结合学生分析结果及案例归纳讲解急诊危重患者护理的伦理规范</w:t>
            </w:r>
          </w:p>
        </w:tc>
        <w:tc>
          <w:tcPr>
            <w:tcW w:w="2805" w:type="dxa"/>
            <w:vAlign w:val="top"/>
          </w:tcPr>
          <w:p w14:paraId="423C2D78">
            <w:pPr>
              <w:spacing w:line="360" w:lineRule="auto"/>
              <w:jc w:val="left"/>
              <w:rPr>
                <w:rFonts w:ascii="仿宋" w:hAnsi="仿宋" w:eastAsia="仿宋" w:cs="仿宋"/>
                <w:sz w:val="24"/>
              </w:rPr>
            </w:pPr>
            <w:r>
              <w:rPr>
                <w:rFonts w:hint="eastAsia" w:ascii="仿宋" w:hAnsi="仿宋" w:eastAsia="仿宋" w:cs="仿宋"/>
                <w:sz w:val="24"/>
              </w:rPr>
              <w:t>1.聆听、思考</w:t>
            </w:r>
          </w:p>
          <w:p w14:paraId="737FAA5B">
            <w:pPr>
              <w:spacing w:line="360" w:lineRule="auto"/>
              <w:jc w:val="left"/>
              <w:rPr>
                <w:rFonts w:ascii="仿宋" w:hAnsi="仿宋" w:eastAsia="仿宋" w:cs="仿宋"/>
                <w:sz w:val="24"/>
              </w:rPr>
            </w:pPr>
          </w:p>
          <w:p w14:paraId="429CF2C4">
            <w:pPr>
              <w:spacing w:line="360" w:lineRule="auto"/>
              <w:jc w:val="left"/>
              <w:rPr>
                <w:rFonts w:ascii="仿宋" w:hAnsi="仿宋" w:eastAsia="仿宋" w:cs="仿宋"/>
                <w:sz w:val="24"/>
              </w:rPr>
            </w:pPr>
          </w:p>
          <w:p w14:paraId="5246FED2">
            <w:pPr>
              <w:spacing w:line="360" w:lineRule="auto"/>
              <w:jc w:val="left"/>
              <w:rPr>
                <w:rFonts w:ascii="仿宋" w:hAnsi="仿宋" w:eastAsia="仿宋" w:cs="仿宋"/>
                <w:sz w:val="24"/>
              </w:rPr>
            </w:pPr>
          </w:p>
          <w:p w14:paraId="448998BB">
            <w:pPr>
              <w:spacing w:line="360" w:lineRule="auto"/>
              <w:jc w:val="left"/>
              <w:rPr>
                <w:rFonts w:ascii="仿宋" w:hAnsi="仿宋" w:eastAsia="仿宋" w:cs="仿宋"/>
                <w:sz w:val="24"/>
              </w:rPr>
            </w:pPr>
            <w:r>
              <w:rPr>
                <w:rFonts w:hint="eastAsia" w:ascii="仿宋" w:hAnsi="仿宋" w:eastAsia="仿宋" w:cs="仿宋"/>
                <w:sz w:val="24"/>
              </w:rPr>
              <w:t>2.案例分析、小组讨论</w:t>
            </w:r>
          </w:p>
          <w:p w14:paraId="3FAE345F">
            <w:pPr>
              <w:spacing w:line="360" w:lineRule="auto"/>
              <w:jc w:val="left"/>
              <w:rPr>
                <w:rFonts w:ascii="仿宋" w:hAnsi="仿宋" w:eastAsia="仿宋" w:cs="仿宋"/>
                <w:sz w:val="24"/>
              </w:rPr>
            </w:pPr>
          </w:p>
          <w:p w14:paraId="6D0B918D">
            <w:pPr>
              <w:spacing w:line="360" w:lineRule="auto"/>
              <w:jc w:val="left"/>
              <w:rPr>
                <w:rFonts w:ascii="仿宋" w:hAnsi="仿宋" w:eastAsia="仿宋" w:cs="仿宋"/>
                <w:sz w:val="24"/>
              </w:rPr>
            </w:pPr>
          </w:p>
          <w:p w14:paraId="577DFA3F">
            <w:pPr>
              <w:spacing w:line="360" w:lineRule="auto"/>
              <w:jc w:val="left"/>
              <w:rPr>
                <w:rFonts w:ascii="仿宋" w:hAnsi="仿宋" w:eastAsia="仿宋" w:cs="仿宋"/>
                <w:sz w:val="24"/>
              </w:rPr>
            </w:pPr>
          </w:p>
          <w:p w14:paraId="44E8B706">
            <w:pPr>
              <w:spacing w:line="360" w:lineRule="auto"/>
              <w:jc w:val="left"/>
              <w:rPr>
                <w:rFonts w:ascii="仿宋" w:hAnsi="仿宋" w:eastAsia="仿宋" w:cs="仿宋"/>
                <w:sz w:val="24"/>
              </w:rPr>
            </w:pPr>
          </w:p>
          <w:p w14:paraId="2F808E69">
            <w:pPr>
              <w:spacing w:line="360" w:lineRule="auto"/>
              <w:jc w:val="left"/>
              <w:rPr>
                <w:rFonts w:ascii="仿宋" w:hAnsi="仿宋" w:eastAsia="仿宋" w:cs="仿宋"/>
                <w:sz w:val="24"/>
              </w:rPr>
            </w:pPr>
            <w:r>
              <w:rPr>
                <w:rFonts w:hint="eastAsia" w:ascii="仿宋" w:hAnsi="仿宋" w:eastAsia="仿宋" w:cs="仿宋"/>
                <w:sz w:val="24"/>
              </w:rPr>
              <w:t>3.思考、启发回答、知识内化</w:t>
            </w:r>
          </w:p>
        </w:tc>
        <w:tc>
          <w:tcPr>
            <w:tcW w:w="3503" w:type="dxa"/>
            <w:vAlign w:val="top"/>
          </w:tcPr>
          <w:p w14:paraId="42B1DCCE">
            <w:pPr>
              <w:spacing w:line="360" w:lineRule="auto"/>
              <w:rPr>
                <w:rFonts w:ascii="仿宋" w:hAnsi="仿宋" w:eastAsia="仿宋" w:cs="仿宋"/>
                <w:sz w:val="24"/>
              </w:rPr>
            </w:pPr>
            <w:r>
              <w:rPr>
                <w:rFonts w:hint="eastAsia" w:ascii="仿宋" w:hAnsi="仿宋" w:eastAsia="仿宋" w:cs="仿宋"/>
                <w:sz w:val="24"/>
              </w:rPr>
              <w:t>按照</w:t>
            </w:r>
            <w:r>
              <w:rPr>
                <w:rFonts w:hint="eastAsia" w:ascii="仿宋" w:hAnsi="仿宋" w:eastAsia="仿宋" w:cs="仿宋"/>
                <w:b/>
                <w:bCs/>
                <w:color w:val="FF0000"/>
                <w:sz w:val="24"/>
              </w:rPr>
              <w:t>“特点”-“伦理规范”</w:t>
            </w:r>
            <w:r>
              <w:rPr>
                <w:rFonts w:hint="eastAsia" w:ascii="仿宋" w:hAnsi="仿宋" w:eastAsia="仿宋" w:cs="仿宋"/>
                <w:sz w:val="24"/>
              </w:rPr>
              <w:t>的思路讲授急诊、危重护理工作中的护理伦理内容，条例清楚，易于学生理解。</w:t>
            </w:r>
          </w:p>
          <w:p w14:paraId="1C76B370">
            <w:pPr>
              <w:spacing w:line="360" w:lineRule="auto"/>
              <w:rPr>
                <w:rFonts w:ascii="仿宋" w:hAnsi="仿宋" w:eastAsia="仿宋" w:cs="仿宋"/>
                <w:sz w:val="24"/>
              </w:rPr>
            </w:pPr>
            <w:r>
              <w:rPr>
                <w:rFonts w:hint="eastAsia" w:ascii="仿宋" w:hAnsi="仿宋" w:eastAsia="仿宋" w:cs="仿宋"/>
                <w:sz w:val="24"/>
              </w:rPr>
              <w:t>案例分析、小组讨论，学生积极参与，培养学生</w:t>
            </w:r>
            <w:r>
              <w:rPr>
                <w:rFonts w:hint="eastAsia" w:ascii="仿宋" w:hAnsi="仿宋" w:eastAsia="仿宋" w:cs="仿宋"/>
                <w:b/>
                <w:bCs/>
                <w:color w:val="FF0000"/>
                <w:sz w:val="24"/>
              </w:rPr>
              <w:t>思考问题、解决问题、团结协作的能力。</w:t>
            </w:r>
          </w:p>
          <w:p w14:paraId="6AF82EBF">
            <w:pPr>
              <w:spacing w:line="360" w:lineRule="auto"/>
              <w:rPr>
                <w:rFonts w:ascii="仿宋" w:hAnsi="仿宋" w:eastAsia="仿宋" w:cs="仿宋"/>
                <w:b/>
                <w:bCs/>
                <w:color w:val="FF0000"/>
                <w:sz w:val="24"/>
              </w:rPr>
            </w:pPr>
            <w:r>
              <w:rPr>
                <w:rFonts w:hint="eastAsia" w:ascii="仿宋" w:hAnsi="仿宋" w:eastAsia="仿宋" w:cs="仿宋"/>
                <w:sz w:val="24"/>
              </w:rPr>
              <w:t>结合学生案例分析结果、教师归纳讲解使知识体系更完整，也易于学生理解和掌握。通过急诊、危重护理工作中的护理伦理</w:t>
            </w:r>
            <w:r>
              <w:rPr>
                <w:rFonts w:hint="eastAsia" w:ascii="仿宋" w:hAnsi="仿宋" w:eastAsia="仿宋" w:cs="仿宋"/>
                <w:b/>
                <w:bCs/>
                <w:color w:val="FF0000"/>
                <w:sz w:val="24"/>
              </w:rPr>
              <w:t>启发学生文明礼貌、无私奉献、勤学苦练、服务社会。</w:t>
            </w:r>
          </w:p>
          <w:p w14:paraId="605FBA51">
            <w:pPr>
              <w:spacing w:line="360" w:lineRule="auto"/>
              <w:rPr>
                <w:rFonts w:ascii="仿宋" w:hAnsi="仿宋" w:eastAsia="仿宋" w:cs="仿宋"/>
                <w:sz w:val="24"/>
              </w:rPr>
            </w:pPr>
          </w:p>
        </w:tc>
      </w:tr>
      <w:tr w14:paraId="7EA70B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4B7FC108">
            <w:pPr>
              <w:spacing w:line="360" w:lineRule="auto"/>
              <w:jc w:val="left"/>
              <w:rPr>
                <w:rFonts w:ascii="仿宋" w:hAnsi="仿宋" w:eastAsia="仿宋" w:cs="仿宋"/>
                <w:sz w:val="24"/>
              </w:rPr>
            </w:pPr>
            <w:r>
              <w:rPr>
                <w:rFonts w:hint="eastAsia" w:ascii="仿宋" w:hAnsi="仿宋" w:eastAsia="仿宋" w:cs="仿宋"/>
                <w:sz w:val="24"/>
              </w:rPr>
              <w:t xml:space="preserve">总结  </w:t>
            </w:r>
          </w:p>
          <w:p w14:paraId="32FD1F86">
            <w:pPr>
              <w:spacing w:line="360" w:lineRule="auto"/>
              <w:jc w:val="left"/>
              <w:rPr>
                <w:rFonts w:ascii="仿宋" w:hAnsi="仿宋" w:eastAsia="仿宋" w:cs="仿宋"/>
                <w:sz w:val="24"/>
              </w:rPr>
            </w:pPr>
            <w:r>
              <w:rPr>
                <w:rFonts w:hint="eastAsia" w:ascii="仿宋" w:hAnsi="仿宋" w:eastAsia="仿宋" w:cs="仿宋"/>
                <w:sz w:val="24"/>
              </w:rPr>
              <w:t xml:space="preserve">                           </w:t>
            </w:r>
          </w:p>
          <w:p w14:paraId="71A126FE">
            <w:pPr>
              <w:spacing w:line="360" w:lineRule="auto"/>
              <w:jc w:val="left"/>
              <w:rPr>
                <w:rFonts w:ascii="仿宋" w:hAnsi="仿宋" w:eastAsia="仿宋" w:cs="仿宋"/>
                <w:sz w:val="24"/>
              </w:rPr>
            </w:pPr>
          </w:p>
        </w:tc>
        <w:tc>
          <w:tcPr>
            <w:tcW w:w="2463" w:type="dxa"/>
            <w:vAlign w:val="top"/>
          </w:tcPr>
          <w:p w14:paraId="7A737026">
            <w:pPr>
              <w:spacing w:line="360" w:lineRule="auto"/>
              <w:rPr>
                <w:rFonts w:ascii="仿宋" w:hAnsi="仿宋" w:eastAsia="仿宋" w:cs="仿宋"/>
                <w:sz w:val="24"/>
              </w:rPr>
            </w:pPr>
            <w:r>
              <w:rPr>
                <w:rFonts w:hint="eastAsia" w:ascii="仿宋" w:hAnsi="仿宋" w:eastAsia="仿宋" w:cs="仿宋"/>
                <w:sz w:val="24"/>
              </w:rPr>
              <w:t>结合思维导图呈现本节课知识脉络和重点内容</w:t>
            </w:r>
          </w:p>
        </w:tc>
        <w:tc>
          <w:tcPr>
            <w:tcW w:w="2805" w:type="dxa"/>
            <w:vAlign w:val="top"/>
          </w:tcPr>
          <w:p w14:paraId="6FEBEF19">
            <w:pPr>
              <w:spacing w:line="360" w:lineRule="auto"/>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w:t>
            </w:r>
            <w:r>
              <w:rPr>
                <w:rFonts w:hint="eastAsia" w:ascii="仿宋" w:hAnsi="仿宋" w:eastAsia="仿宋" w:cs="仿宋"/>
                <w:sz w:val="24"/>
              </w:rPr>
              <w:t>回顾内容</w:t>
            </w:r>
          </w:p>
          <w:p w14:paraId="71D75CF1">
            <w:pPr>
              <w:spacing w:line="360" w:lineRule="auto"/>
              <w:rPr>
                <w:rFonts w:ascii="仿宋" w:hAnsi="仿宋" w:eastAsia="仿宋" w:cs="仿宋"/>
                <w:sz w:val="24"/>
              </w:rPr>
            </w:pPr>
            <w:r>
              <w:rPr>
                <w:rFonts w:hint="eastAsia" w:ascii="仿宋" w:hAnsi="仿宋" w:eastAsia="仿宋" w:cs="仿宋"/>
                <w:sz w:val="24"/>
              </w:rPr>
              <w:t>2</w:t>
            </w:r>
            <w:r>
              <w:rPr>
                <w:rFonts w:ascii="仿宋" w:hAnsi="仿宋" w:eastAsia="仿宋" w:cs="仿宋"/>
                <w:sz w:val="24"/>
              </w:rPr>
              <w:t>.</w:t>
            </w:r>
            <w:r>
              <w:rPr>
                <w:rFonts w:hint="eastAsia" w:ascii="仿宋" w:hAnsi="仿宋" w:eastAsia="仿宋" w:cs="仿宋"/>
                <w:sz w:val="24"/>
              </w:rPr>
              <w:t>回答提问</w:t>
            </w:r>
          </w:p>
          <w:p w14:paraId="55CEB80B">
            <w:pPr>
              <w:spacing w:line="360" w:lineRule="auto"/>
              <w:rPr>
                <w:rFonts w:ascii="仿宋" w:hAnsi="仿宋" w:eastAsia="仿宋" w:cs="仿宋"/>
                <w:sz w:val="24"/>
              </w:rPr>
            </w:pPr>
          </w:p>
          <w:p w14:paraId="5794AE1D">
            <w:pPr>
              <w:spacing w:line="360" w:lineRule="auto"/>
              <w:rPr>
                <w:rFonts w:ascii="仿宋" w:hAnsi="仿宋" w:eastAsia="仿宋" w:cs="仿宋"/>
                <w:sz w:val="24"/>
              </w:rPr>
            </w:pPr>
          </w:p>
        </w:tc>
        <w:tc>
          <w:tcPr>
            <w:tcW w:w="3503" w:type="dxa"/>
            <w:vAlign w:val="top"/>
          </w:tcPr>
          <w:p w14:paraId="3ED40287">
            <w:pPr>
              <w:spacing w:line="360" w:lineRule="auto"/>
              <w:rPr>
                <w:rFonts w:ascii="仿宋" w:hAnsi="仿宋" w:eastAsia="仿宋" w:cs="仿宋"/>
                <w:sz w:val="24"/>
              </w:rPr>
            </w:pPr>
            <w:r>
              <w:rPr>
                <w:rFonts w:hint="eastAsia" w:ascii="仿宋" w:hAnsi="仿宋" w:eastAsia="仿宋" w:cs="仿宋"/>
                <w:sz w:val="24"/>
              </w:rPr>
              <w:t>通过总结讲授巩固知识。启发式教学，变学习被动为主动。互动式，</w:t>
            </w:r>
            <w:r>
              <w:rPr>
                <w:rFonts w:hint="eastAsia" w:ascii="仿宋" w:hAnsi="仿宋" w:eastAsia="仿宋" w:cs="仿宋"/>
                <w:b/>
                <w:bCs/>
                <w:color w:val="FF0000"/>
                <w:sz w:val="24"/>
              </w:rPr>
              <w:t>鼓励学生积极参与，激发学生潜能</w:t>
            </w:r>
            <w:r>
              <w:rPr>
                <w:rFonts w:hint="eastAsia"/>
                <w:b/>
                <w:bCs/>
                <w:color w:val="FF0000"/>
              </w:rPr>
              <w:t>。</w:t>
            </w:r>
          </w:p>
        </w:tc>
      </w:tr>
      <w:tr w14:paraId="2C36E3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76226D46">
            <w:pPr>
              <w:spacing w:line="360" w:lineRule="auto"/>
              <w:jc w:val="left"/>
              <w:rPr>
                <w:rFonts w:ascii="仿宋" w:hAnsi="仿宋" w:eastAsia="仿宋" w:cs="仿宋"/>
                <w:sz w:val="24"/>
              </w:rPr>
            </w:pPr>
            <w:r>
              <w:rPr>
                <w:rFonts w:hint="eastAsia" w:ascii="仿宋" w:hAnsi="仿宋" w:eastAsia="仿宋" w:cs="仿宋"/>
                <w:sz w:val="24"/>
              </w:rPr>
              <w:t>作业</w:t>
            </w:r>
            <w:r>
              <w:rPr>
                <w:rFonts w:ascii="仿宋" w:hAnsi="仿宋" w:eastAsia="仿宋" w:cs="仿宋"/>
                <w:sz w:val="24"/>
              </w:rPr>
              <w:t xml:space="preserve"> </w:t>
            </w:r>
          </w:p>
          <w:p w14:paraId="263B760F">
            <w:pPr>
              <w:spacing w:line="360" w:lineRule="auto"/>
              <w:jc w:val="left"/>
              <w:rPr>
                <w:rFonts w:ascii="仿宋" w:hAnsi="仿宋" w:eastAsia="仿宋" w:cs="仿宋"/>
                <w:sz w:val="24"/>
              </w:rPr>
            </w:pPr>
          </w:p>
        </w:tc>
        <w:tc>
          <w:tcPr>
            <w:tcW w:w="2463" w:type="dxa"/>
            <w:vAlign w:val="top"/>
          </w:tcPr>
          <w:p w14:paraId="1B39AF30">
            <w:pPr>
              <w:numPr>
                <w:ilvl w:val="0"/>
                <w:numId w:val="2"/>
              </w:numPr>
              <w:spacing w:line="360" w:lineRule="auto"/>
              <w:rPr>
                <w:rFonts w:ascii="仿宋" w:hAnsi="仿宋" w:eastAsia="仿宋" w:cs="仿宋"/>
                <w:sz w:val="24"/>
              </w:rPr>
            </w:pPr>
            <w:r>
              <w:rPr>
                <w:rFonts w:hint="eastAsia" w:ascii="仿宋" w:hAnsi="仿宋" w:eastAsia="仿宋" w:cs="仿宋"/>
                <w:sz w:val="24"/>
              </w:rPr>
              <w:t>课本上【直击护考】单元作业</w:t>
            </w:r>
          </w:p>
          <w:p w14:paraId="2483CBEA">
            <w:pPr>
              <w:numPr>
                <w:ilvl w:val="0"/>
                <w:numId w:val="2"/>
              </w:numPr>
              <w:spacing w:line="360" w:lineRule="auto"/>
              <w:rPr>
                <w:rFonts w:ascii="仿宋" w:hAnsi="仿宋" w:eastAsia="仿宋" w:cs="仿宋"/>
                <w:sz w:val="24"/>
              </w:rPr>
            </w:pPr>
            <w:r>
              <w:rPr>
                <w:rFonts w:hint="eastAsia" w:ascii="仿宋" w:hAnsi="仿宋" w:eastAsia="仿宋" w:cs="仿宋"/>
                <w:sz w:val="24"/>
              </w:rPr>
              <w:t>查阅职教云平台上案例分析资源</w:t>
            </w:r>
          </w:p>
        </w:tc>
        <w:tc>
          <w:tcPr>
            <w:tcW w:w="2805" w:type="dxa"/>
            <w:vAlign w:val="top"/>
          </w:tcPr>
          <w:p w14:paraId="708D6CAF">
            <w:pPr>
              <w:numPr>
                <w:ilvl w:val="0"/>
                <w:numId w:val="3"/>
              </w:numPr>
              <w:spacing w:line="360" w:lineRule="auto"/>
              <w:rPr>
                <w:rFonts w:ascii="仿宋" w:hAnsi="仿宋" w:eastAsia="仿宋" w:cs="仿宋"/>
                <w:sz w:val="24"/>
              </w:rPr>
            </w:pPr>
            <w:r>
              <w:rPr>
                <w:rFonts w:hint="eastAsia" w:ascii="仿宋" w:hAnsi="仿宋" w:eastAsia="仿宋" w:cs="仿宋"/>
                <w:sz w:val="24"/>
              </w:rPr>
              <w:t>做课后练习题</w:t>
            </w:r>
          </w:p>
          <w:p w14:paraId="3FBCC5E0">
            <w:pPr>
              <w:spacing w:line="360" w:lineRule="auto"/>
              <w:rPr>
                <w:rFonts w:ascii="仿宋" w:hAnsi="仿宋" w:eastAsia="仿宋" w:cs="仿宋"/>
                <w:sz w:val="24"/>
              </w:rPr>
            </w:pPr>
          </w:p>
          <w:p w14:paraId="562284FC">
            <w:pPr>
              <w:spacing w:line="360" w:lineRule="auto"/>
              <w:rPr>
                <w:rFonts w:ascii="仿宋" w:hAnsi="仿宋" w:eastAsia="仿宋" w:cs="仿宋"/>
                <w:sz w:val="24"/>
              </w:rPr>
            </w:pPr>
            <w:r>
              <w:rPr>
                <w:rFonts w:hint="eastAsia" w:ascii="仿宋" w:hAnsi="仿宋" w:eastAsia="仿宋" w:cs="仿宋"/>
                <w:sz w:val="24"/>
              </w:rPr>
              <w:t>2.查阅资源，进行案例分析和知识应用</w:t>
            </w:r>
          </w:p>
        </w:tc>
        <w:tc>
          <w:tcPr>
            <w:tcW w:w="3503" w:type="dxa"/>
            <w:vAlign w:val="top"/>
          </w:tcPr>
          <w:p w14:paraId="4166BEC8">
            <w:pPr>
              <w:spacing w:line="360" w:lineRule="auto"/>
              <w:rPr>
                <w:rFonts w:ascii="仿宋" w:hAnsi="仿宋" w:eastAsia="仿宋" w:cs="仿宋"/>
                <w:sz w:val="24"/>
              </w:rPr>
            </w:pPr>
            <w:r>
              <w:rPr>
                <w:rFonts w:hint="eastAsia" w:ascii="仿宋" w:hAnsi="仿宋" w:eastAsia="仿宋" w:cs="仿宋"/>
                <w:sz w:val="24"/>
              </w:rPr>
              <w:t>通过课后作业、查阅资源，加强对知识的巩固，案例分析资源可提升知识运用的能力，协助培养</w:t>
            </w:r>
            <w:r>
              <w:rPr>
                <w:rFonts w:hint="eastAsia" w:ascii="仿宋" w:hAnsi="仿宋" w:eastAsia="仿宋" w:cs="仿宋"/>
                <w:b/>
                <w:bCs/>
                <w:color w:val="FF0000"/>
                <w:sz w:val="24"/>
              </w:rPr>
              <w:t>护理伦理道德的意识和思维</w:t>
            </w:r>
            <w:r>
              <w:rPr>
                <w:rFonts w:hint="eastAsia" w:ascii="仿宋" w:hAnsi="仿宋" w:eastAsia="仿宋" w:cs="仿宋"/>
                <w:sz w:val="24"/>
              </w:rPr>
              <w:t>。</w:t>
            </w:r>
          </w:p>
        </w:tc>
      </w:tr>
      <w:tr w14:paraId="392D48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vAlign w:val="top"/>
          </w:tcPr>
          <w:p w14:paraId="30EF97C6">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（三）课后强巩固</w:t>
            </w:r>
          </w:p>
        </w:tc>
      </w:tr>
      <w:tr w14:paraId="28418E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shd w:val="clear" w:color="auto" w:fill="DEEAF6"/>
            <w:vAlign w:val="top"/>
          </w:tcPr>
          <w:p w14:paraId="45B7DF93">
            <w:pPr>
              <w:spacing w:line="360" w:lineRule="auto"/>
              <w:jc w:val="center"/>
              <w:rPr>
                <w:rFonts w:ascii="仿宋" w:hAnsi="仿宋" w:eastAsia="仿宋" w:cs="仿宋"/>
                <w:b/>
                <w:sz w:val="28"/>
                <w:szCs w:val="28"/>
              </w:rPr>
            </w:pPr>
            <w:r>
              <w:rPr>
                <w:rFonts w:hint="eastAsia" w:ascii="仿宋" w:hAnsi="仿宋" w:eastAsia="仿宋" w:cs="仿宋"/>
                <w:b/>
                <w:bCs/>
                <w:sz w:val="28"/>
                <w:szCs w:val="28"/>
              </w:rPr>
              <w:t>课后任务</w:t>
            </w:r>
          </w:p>
        </w:tc>
        <w:tc>
          <w:tcPr>
            <w:tcW w:w="2463" w:type="dxa"/>
            <w:shd w:val="clear" w:color="auto" w:fill="DEEAF6"/>
            <w:vAlign w:val="top"/>
          </w:tcPr>
          <w:p w14:paraId="328C12A4">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教师活动</w:t>
            </w:r>
          </w:p>
        </w:tc>
        <w:tc>
          <w:tcPr>
            <w:tcW w:w="2805" w:type="dxa"/>
            <w:shd w:val="clear" w:color="auto" w:fill="DEEAF6"/>
            <w:vAlign w:val="top"/>
          </w:tcPr>
          <w:p w14:paraId="1791F08B">
            <w:pPr>
              <w:spacing w:line="360" w:lineRule="auto"/>
              <w:jc w:val="center"/>
              <w:rPr>
                <w:rFonts w:ascii="仿宋" w:hAnsi="仿宋" w:eastAsia="仿宋" w:cs="仿宋"/>
                <w:sz w:val="24"/>
              </w:rPr>
            </w:pPr>
            <w:r>
              <w:rPr>
                <w:rFonts w:hint="eastAsia" w:ascii="仿宋" w:hAnsi="仿宋" w:eastAsia="仿宋" w:cs="仿宋"/>
                <w:b/>
                <w:bCs/>
                <w:sz w:val="28"/>
                <w:szCs w:val="28"/>
              </w:rPr>
              <w:t>学生活动</w:t>
            </w:r>
          </w:p>
        </w:tc>
        <w:tc>
          <w:tcPr>
            <w:tcW w:w="3503" w:type="dxa"/>
            <w:shd w:val="clear" w:color="auto" w:fill="DEEAF6"/>
            <w:vAlign w:val="top"/>
          </w:tcPr>
          <w:p w14:paraId="6886B5BC">
            <w:pPr>
              <w:spacing w:line="360" w:lineRule="auto"/>
              <w:jc w:val="center"/>
              <w:rPr>
                <w:rFonts w:ascii="仿宋" w:hAnsi="仿宋" w:eastAsia="仿宋" w:cs="仿宋"/>
                <w:sz w:val="24"/>
              </w:rPr>
            </w:pPr>
            <w:r>
              <w:rPr>
                <w:rFonts w:hint="eastAsia" w:ascii="仿宋" w:hAnsi="仿宋" w:eastAsia="仿宋" w:cs="仿宋"/>
                <w:b/>
                <w:bCs/>
                <w:sz w:val="28"/>
                <w:szCs w:val="28"/>
              </w:rPr>
              <w:t>设计意图</w:t>
            </w:r>
          </w:p>
        </w:tc>
      </w:tr>
      <w:tr w14:paraId="104BC9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552E828D">
            <w:pPr>
              <w:spacing w:line="360" w:lineRule="auto"/>
              <w:rPr>
                <w:rFonts w:ascii="仿宋" w:hAnsi="仿宋" w:eastAsia="仿宋" w:cs="仿宋"/>
                <w:sz w:val="24"/>
              </w:rPr>
            </w:pPr>
            <w:r>
              <w:rPr>
                <w:rFonts w:hint="eastAsia" w:ascii="仿宋" w:hAnsi="仿宋" w:eastAsia="仿宋" w:cs="仿宋"/>
                <w:sz w:val="24"/>
              </w:rPr>
              <w:t>1.完成课后作业</w:t>
            </w:r>
          </w:p>
        </w:tc>
        <w:tc>
          <w:tcPr>
            <w:tcW w:w="2463" w:type="dxa"/>
            <w:vAlign w:val="top"/>
          </w:tcPr>
          <w:p w14:paraId="7DC8D702">
            <w:pPr>
              <w:spacing w:line="360" w:lineRule="auto"/>
              <w:rPr>
                <w:rFonts w:ascii="仿宋" w:hAnsi="仿宋" w:eastAsia="仿宋" w:cs="仿宋"/>
                <w:sz w:val="24"/>
              </w:rPr>
            </w:pPr>
            <w:r>
              <w:rPr>
                <w:rFonts w:ascii="仿宋" w:hAnsi="仿宋" w:eastAsia="仿宋" w:cs="仿宋"/>
                <w:sz w:val="24"/>
              </w:rPr>
              <w:t>1</w:t>
            </w:r>
            <w:r>
              <w:rPr>
                <w:rFonts w:hint="eastAsia" w:ascii="仿宋" w:hAnsi="仿宋" w:eastAsia="仿宋" w:cs="仿宋"/>
                <w:sz w:val="24"/>
              </w:rPr>
              <w:t>.发布课后作业任务要求</w:t>
            </w:r>
          </w:p>
        </w:tc>
        <w:tc>
          <w:tcPr>
            <w:tcW w:w="2805" w:type="dxa"/>
            <w:vAlign w:val="top"/>
          </w:tcPr>
          <w:p w14:paraId="726F1704">
            <w:pPr>
              <w:spacing w:line="360" w:lineRule="auto"/>
              <w:rPr>
                <w:rFonts w:ascii="仿宋" w:hAnsi="仿宋" w:eastAsia="仿宋" w:cs="仿宋"/>
                <w:sz w:val="24"/>
              </w:rPr>
            </w:pPr>
            <w:r>
              <w:rPr>
                <w:rFonts w:hint="eastAsia" w:ascii="仿宋" w:hAnsi="仿宋" w:eastAsia="仿宋" w:cs="仿宋"/>
                <w:sz w:val="24"/>
              </w:rPr>
              <w:t>1.初步完成课后作业</w:t>
            </w:r>
          </w:p>
        </w:tc>
        <w:tc>
          <w:tcPr>
            <w:tcW w:w="3503" w:type="dxa"/>
            <w:vAlign w:val="top"/>
          </w:tcPr>
          <w:p w14:paraId="11955C23">
            <w:pPr>
              <w:spacing w:line="360" w:lineRule="auto"/>
              <w:rPr>
                <w:rFonts w:ascii="仿宋" w:hAnsi="仿宋" w:eastAsia="仿宋" w:cs="仿宋"/>
                <w:sz w:val="24"/>
              </w:rPr>
            </w:pPr>
            <w:r>
              <w:rPr>
                <w:rFonts w:hint="eastAsia" w:ascii="仿宋" w:hAnsi="仿宋" w:eastAsia="仿宋" w:cs="仿宋"/>
                <w:sz w:val="24"/>
              </w:rPr>
              <w:t>巩固学生所学，为下节课做准备，成绩纳入过程考核纳入过程性考核，旨在提升学生护理伦理意识</w:t>
            </w:r>
          </w:p>
        </w:tc>
      </w:tr>
      <w:tr w14:paraId="4051E5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0540BEDA">
            <w:pPr>
              <w:spacing w:line="360" w:lineRule="auto"/>
              <w:rPr>
                <w:rFonts w:ascii="仿宋" w:hAnsi="仿宋" w:eastAsia="仿宋" w:cs="仿宋"/>
                <w:sz w:val="24"/>
              </w:rPr>
            </w:pPr>
            <w:r>
              <w:rPr>
                <w:rFonts w:hint="eastAsia" w:ascii="仿宋" w:hAnsi="仿宋" w:eastAsia="仿宋" w:cs="仿宋"/>
                <w:sz w:val="24"/>
              </w:rPr>
              <w:t>2.线上学习</w:t>
            </w:r>
          </w:p>
        </w:tc>
        <w:tc>
          <w:tcPr>
            <w:tcW w:w="2463" w:type="dxa"/>
            <w:vAlign w:val="top"/>
          </w:tcPr>
          <w:p w14:paraId="54CE01C2">
            <w:pPr>
              <w:spacing w:line="360" w:lineRule="auto"/>
              <w:rPr>
                <w:rFonts w:ascii="仿宋" w:hAnsi="仿宋" w:eastAsia="仿宋" w:cs="仿宋"/>
                <w:sz w:val="24"/>
              </w:rPr>
            </w:pPr>
            <w:r>
              <w:rPr>
                <w:rFonts w:hint="eastAsia" w:ascii="仿宋" w:hAnsi="仿宋" w:eastAsia="仿宋" w:cs="仿宋"/>
                <w:sz w:val="24"/>
              </w:rPr>
              <w:t>2.在职教云平台上传案例</w:t>
            </w:r>
          </w:p>
        </w:tc>
        <w:tc>
          <w:tcPr>
            <w:tcW w:w="2805" w:type="dxa"/>
            <w:vAlign w:val="top"/>
          </w:tcPr>
          <w:p w14:paraId="6A80462B">
            <w:pPr>
              <w:spacing w:line="360" w:lineRule="auto"/>
              <w:rPr>
                <w:rFonts w:ascii="仿宋" w:hAnsi="仿宋" w:eastAsia="仿宋" w:cs="仿宋"/>
                <w:sz w:val="24"/>
              </w:rPr>
            </w:pPr>
            <w:r>
              <w:rPr>
                <w:rFonts w:hint="eastAsia" w:ascii="仿宋" w:hAnsi="仿宋" w:eastAsia="仿宋" w:cs="仿宋"/>
                <w:sz w:val="24"/>
              </w:rPr>
              <w:t>2.查看上传案例，并应用所学知识分析案例，分析结果以小组形式上传职教云平台</w:t>
            </w:r>
          </w:p>
        </w:tc>
        <w:tc>
          <w:tcPr>
            <w:tcW w:w="3503" w:type="dxa"/>
            <w:vAlign w:val="top"/>
          </w:tcPr>
          <w:p w14:paraId="3157D15D">
            <w:pPr>
              <w:spacing w:line="360" w:lineRule="auto"/>
              <w:rPr>
                <w:rFonts w:ascii="仿宋" w:hAnsi="仿宋" w:eastAsia="仿宋" w:cs="仿宋"/>
                <w:sz w:val="24"/>
              </w:rPr>
            </w:pPr>
            <w:r>
              <w:rPr>
                <w:rFonts w:hint="eastAsia" w:ascii="仿宋" w:hAnsi="仿宋" w:eastAsia="仿宋" w:cs="仿宋"/>
                <w:sz w:val="24"/>
              </w:rPr>
              <w:t>提升知识迁移和应用知识的能力为下节课做准备，成绩纳入过程考核纳入过程性考核，旨在提升学生分析问题的能力</w:t>
            </w:r>
          </w:p>
        </w:tc>
      </w:tr>
      <w:tr w14:paraId="63A5D2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vAlign w:val="top"/>
          </w:tcPr>
          <w:p w14:paraId="62220263">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（四）课后反思</w:t>
            </w:r>
          </w:p>
        </w:tc>
      </w:tr>
      <w:tr w14:paraId="4D6A81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FFFFFF"/>
            <w:vAlign w:val="top"/>
          </w:tcPr>
          <w:p w14:paraId="6CD2D9B8">
            <w:pPr>
              <w:spacing w:line="360" w:lineRule="auto"/>
              <w:jc w:val="center"/>
              <w:rPr>
                <w:rFonts w:ascii="仿宋" w:hAnsi="仿宋" w:eastAsia="仿宋" w:cs="仿宋"/>
                <w:b/>
                <w:bCs/>
                <w:sz w:val="28"/>
                <w:szCs w:val="28"/>
              </w:rPr>
            </w:pPr>
          </w:p>
          <w:p w14:paraId="6B03663F">
            <w:pPr>
              <w:spacing w:line="360" w:lineRule="auto"/>
              <w:jc w:val="center"/>
              <w:rPr>
                <w:rFonts w:ascii="仿宋" w:hAnsi="仿宋" w:eastAsia="仿宋" w:cs="仿宋"/>
                <w:b/>
                <w:bCs/>
                <w:sz w:val="28"/>
                <w:szCs w:val="28"/>
              </w:rPr>
            </w:pPr>
          </w:p>
          <w:p w14:paraId="27450CB6">
            <w:pPr>
              <w:spacing w:line="360" w:lineRule="auto"/>
              <w:jc w:val="center"/>
              <w:rPr>
                <w:rFonts w:ascii="仿宋" w:hAnsi="仿宋" w:eastAsia="仿宋" w:cs="仿宋"/>
                <w:b/>
                <w:bCs/>
                <w:sz w:val="28"/>
                <w:szCs w:val="28"/>
              </w:rPr>
            </w:pPr>
          </w:p>
          <w:p w14:paraId="160EF13C">
            <w:pPr>
              <w:spacing w:line="360" w:lineRule="auto"/>
              <w:jc w:val="center"/>
              <w:rPr>
                <w:rFonts w:ascii="仿宋" w:hAnsi="仿宋" w:eastAsia="仿宋" w:cs="仿宋"/>
                <w:b/>
                <w:bCs/>
                <w:sz w:val="28"/>
                <w:szCs w:val="28"/>
              </w:rPr>
            </w:pPr>
          </w:p>
          <w:p w14:paraId="40AA556F">
            <w:pPr>
              <w:spacing w:line="360" w:lineRule="auto"/>
              <w:jc w:val="center"/>
              <w:rPr>
                <w:rFonts w:ascii="仿宋" w:hAnsi="仿宋" w:eastAsia="仿宋" w:cs="仿宋"/>
                <w:b/>
                <w:bCs/>
                <w:sz w:val="28"/>
                <w:szCs w:val="28"/>
              </w:rPr>
            </w:pPr>
          </w:p>
          <w:p w14:paraId="5B9BACAE">
            <w:pPr>
              <w:spacing w:line="360" w:lineRule="auto"/>
              <w:jc w:val="center"/>
              <w:rPr>
                <w:rFonts w:ascii="仿宋" w:hAnsi="仿宋" w:eastAsia="仿宋" w:cs="仿宋"/>
                <w:b/>
                <w:bCs/>
                <w:sz w:val="28"/>
                <w:szCs w:val="28"/>
              </w:rPr>
            </w:pPr>
            <w:bookmarkStart w:id="1" w:name="_GoBack"/>
            <w:bookmarkEnd w:id="1"/>
          </w:p>
          <w:p w14:paraId="3257DC5A">
            <w:pPr>
              <w:spacing w:line="360" w:lineRule="auto"/>
              <w:rPr>
                <w:rFonts w:ascii="仿宋" w:hAnsi="仿宋" w:eastAsia="仿宋" w:cs="仿宋"/>
                <w:b/>
                <w:bCs/>
                <w:sz w:val="28"/>
                <w:szCs w:val="28"/>
              </w:rPr>
            </w:pPr>
          </w:p>
        </w:tc>
      </w:tr>
    </w:tbl>
    <w:p w14:paraId="66D65E1D">
      <w:pPr>
        <w:rPr>
          <w:rFonts w:hint="eastAsia" w:ascii="仿宋" w:hAnsi="仿宋" w:eastAsia="仿宋" w:cs="仿宋"/>
          <w:b/>
          <w:bCs/>
          <w:sz w:val="32"/>
          <w:szCs w:val="32"/>
        </w:rPr>
      </w:pPr>
    </w:p>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1" w:fontKey="{CD33A62F-B57A-40DC-935C-46D7E53D9692}"/>
  </w:font>
  <w:font w:name="思源宋体 CN Heavy">
    <w:panose1 w:val="02020900000000000000"/>
    <w:charset w:val="86"/>
    <w:family w:val="auto"/>
    <w:pitch w:val="default"/>
    <w:sig w:usb0="20000083" w:usb1="2ADF3C10" w:usb2="00000016" w:usb3="00000000" w:csb0="60060107" w:csb1="00000000"/>
  </w:font>
  <w:font w:name="仿宋">
    <w:panose1 w:val="02010609060101010101"/>
    <w:charset w:val="86"/>
    <w:family w:val="modern"/>
    <w:pitch w:val="default"/>
    <w:sig w:usb0="800002BF" w:usb1="38CF7CFA" w:usb2="00000016" w:usb3="00000000" w:csb0="00040001" w:csb1="00000000"/>
    <w:embedRegular r:id="rId2" w:fontKey="{F49A5268-0781-4C75-B9C1-162ADE3A698C}"/>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1AB1591"/>
    <w:multiLevelType w:val="singleLevel"/>
    <w:tmpl w:val="B1AB1591"/>
    <w:lvl w:ilvl="0" w:tentative="0">
      <w:start w:val="1"/>
      <w:numFmt w:val="decimal"/>
      <w:lvlText w:val="%1."/>
      <w:lvlJc w:val="left"/>
      <w:pPr>
        <w:tabs>
          <w:tab w:val="left" w:pos="312"/>
        </w:tabs>
      </w:pPr>
    </w:lvl>
  </w:abstractNum>
  <w:abstractNum w:abstractNumId="1">
    <w:nsid w:val="F691E740"/>
    <w:multiLevelType w:val="singleLevel"/>
    <w:tmpl w:val="F691E740"/>
    <w:lvl w:ilvl="0" w:tentative="0">
      <w:start w:val="1"/>
      <w:numFmt w:val="decimal"/>
      <w:lvlText w:val="%1."/>
      <w:lvlJc w:val="left"/>
      <w:pPr>
        <w:tabs>
          <w:tab w:val="left" w:pos="312"/>
        </w:tabs>
      </w:pPr>
    </w:lvl>
  </w:abstractNum>
  <w:abstractNum w:abstractNumId="2">
    <w:nsid w:val="2A281949"/>
    <w:multiLevelType w:val="singleLevel"/>
    <w:tmpl w:val="2A281949"/>
    <w:lvl w:ilvl="0" w:tentative="0">
      <w:start w:val="1"/>
      <w:numFmt w:val="decimal"/>
      <w:lvlText w:val="%1."/>
      <w:lvlJc w:val="left"/>
      <w:pPr>
        <w:tabs>
          <w:tab w:val="left" w:pos="312"/>
        </w:tabs>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C91BFE"/>
    <w:rsid w:val="0AD76FA7"/>
    <w:rsid w:val="0CCD48BE"/>
    <w:rsid w:val="0E3C75E8"/>
    <w:rsid w:val="184F0EEE"/>
    <w:rsid w:val="18B879FE"/>
    <w:rsid w:val="1FB84519"/>
    <w:rsid w:val="2003061B"/>
    <w:rsid w:val="20F13C9B"/>
    <w:rsid w:val="238347DF"/>
    <w:rsid w:val="24B477DD"/>
    <w:rsid w:val="259557B7"/>
    <w:rsid w:val="278141AB"/>
    <w:rsid w:val="28B578A7"/>
    <w:rsid w:val="2B937D0B"/>
    <w:rsid w:val="309F1652"/>
    <w:rsid w:val="322A12C5"/>
    <w:rsid w:val="34AD60CD"/>
    <w:rsid w:val="34B67F89"/>
    <w:rsid w:val="3667350A"/>
    <w:rsid w:val="368D542E"/>
    <w:rsid w:val="369260AD"/>
    <w:rsid w:val="388B134B"/>
    <w:rsid w:val="3C8D6DE4"/>
    <w:rsid w:val="436C72A2"/>
    <w:rsid w:val="43CD7F64"/>
    <w:rsid w:val="44B33A23"/>
    <w:rsid w:val="45C91BBA"/>
    <w:rsid w:val="49B62C9D"/>
    <w:rsid w:val="49F8701E"/>
    <w:rsid w:val="4C7F0E23"/>
    <w:rsid w:val="4DE374C2"/>
    <w:rsid w:val="533C039D"/>
    <w:rsid w:val="53A000C2"/>
    <w:rsid w:val="582E68E8"/>
    <w:rsid w:val="5A7C6694"/>
    <w:rsid w:val="5EE27322"/>
    <w:rsid w:val="5F076D88"/>
    <w:rsid w:val="5FFC3909"/>
    <w:rsid w:val="600E33E1"/>
    <w:rsid w:val="622A303A"/>
    <w:rsid w:val="65201B06"/>
    <w:rsid w:val="6B171288"/>
    <w:rsid w:val="701B1D7B"/>
    <w:rsid w:val="7058635C"/>
    <w:rsid w:val="723010AC"/>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jpe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12.jpe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6</Pages>
  <Words>2084</Words>
  <Characters>2142</Characters>
  <Lines>1</Lines>
  <Paragraphs>1</Paragraphs>
  <TotalTime>1</TotalTime>
  <ScaleCrop>false</ScaleCrop>
  <LinksUpToDate>false</LinksUpToDate>
  <CharactersWithSpaces>2464</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2025-07-24T01:25:21Z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256F67C7BEF54AF3955F0CD58E40946C_13</vt:lpwstr>
  </property>
  <property fmtid="{D5CDD505-2E9C-101B-9397-08002B2CF9AE}" pid="4" name="KSOTemplateDocerSaveRecord">
    <vt:lpwstr>eyJoZGlkIjoiOTcxZjc4Y2ViNTBlZDVmZTI3YTAxZGE1NWVmM2E2NDEiLCJ1c2VySWQiOiI0MDMzMDA2MzYifQ==</vt:lpwstr>
  </property>
</Properties>
</file>